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hAnsi="黑体" w:eastAsia="方正小标宋简体" w:cs="宋体+FPEF"/>
          <w:color w:val="0000FF"/>
          <w:spacing w:val="6"/>
          <w:kern w:val="0"/>
          <w:sz w:val="44"/>
          <w:szCs w:val="44"/>
        </w:rPr>
      </w:pPr>
      <w:r>
        <w:rPr>
          <w:rFonts w:hint="eastAsia" w:asciiTheme="minorEastAsia" w:hAnsiTheme="minorEastAsia" w:eastAsiaTheme="minorEastAsia"/>
          <w:b/>
          <w:sz w:val="40"/>
          <w:szCs w:val="40"/>
          <w:highlight w:val="none"/>
          <w:lang w:val="zh-CN"/>
        </w:rPr>
        <w:object>
          <v:shape id="_x0000_i1025" o:spt="75" type="#_x0000_t75" style="height:640.5pt;width:449.25pt;" o:ole="t" filled="f" o:preferrelative="t" stroked="f" coordsize="21600,21600">
            <v:path/>
            <v:fill on="f" focussize="0,0"/>
            <v:stroke on="f"/>
            <v:imagedata r:id="rId9" o:title=""/>
            <o:lock v:ext="edit" aspectratio="t"/>
            <w10:wrap type="none"/>
            <w10:anchorlock/>
          </v:shape>
          <o:OLEObject Type="Embed" ProgID="Word.Document.12" ShapeID="_x0000_i1025" DrawAspect="Content" ObjectID="_1468075725" r:id="rId8">
            <o:LockedField>false</o:LockedField>
          </o:OLEObject>
        </w:object>
      </w:r>
      <w:bookmarkStart w:id="0" w:name="_Hlk526953858"/>
    </w:p>
    <w:p>
      <w:pPr>
        <w:spacing w:line="579" w:lineRule="exact"/>
        <w:jc w:val="center"/>
        <w:rPr>
          <w:rFonts w:ascii="方正小标宋简体" w:hAnsi="方正小标宋简体" w:eastAsia="方正小标宋简体" w:cs="方正小标宋简体"/>
          <w:spacing w:val="6"/>
          <w:kern w:val="0"/>
          <w:sz w:val="44"/>
          <w:szCs w:val="44"/>
        </w:rPr>
      </w:pPr>
    </w:p>
    <w:p>
      <w:pPr>
        <w:spacing w:line="579" w:lineRule="exact"/>
        <w:jc w:val="center"/>
        <w:rPr>
          <w:rFonts w:ascii="方正小标宋简体" w:hAnsi="方正小标宋简体" w:eastAsia="方正小标宋简体" w:cs="方正小标宋简体"/>
          <w:spacing w:val="6"/>
          <w:kern w:val="0"/>
          <w:sz w:val="44"/>
          <w:szCs w:val="44"/>
        </w:rPr>
      </w:pPr>
    </w:p>
    <w:p>
      <w:pPr>
        <w:spacing w:line="579" w:lineRule="exact"/>
        <w:jc w:val="center"/>
        <w:rPr>
          <w:rFonts w:ascii="方正小标宋简体" w:hAnsi="方正小标宋简体" w:eastAsia="方正小标宋简体" w:cs="方正小标宋简体"/>
          <w:spacing w:val="6"/>
          <w:kern w:val="0"/>
          <w:sz w:val="44"/>
          <w:szCs w:val="44"/>
        </w:rPr>
      </w:pPr>
      <w:r>
        <w:rPr>
          <w:rFonts w:hint="eastAsia" w:ascii="方正小标宋简体" w:eastAsia="方正小标宋简体"/>
          <w:kern w:val="36"/>
          <w:sz w:val="44"/>
          <w:szCs w:val="44"/>
        </w:rPr>
        <w:t>玉溪市</w:t>
      </w:r>
      <w:r>
        <w:rPr>
          <w:rFonts w:hint="eastAsia" w:ascii="方正小标宋简体" w:eastAsia="方正小标宋简体"/>
          <w:kern w:val="36"/>
          <w:sz w:val="44"/>
          <w:szCs w:val="44"/>
          <w:lang w:val="en-US" w:eastAsia="zh-CN"/>
        </w:rPr>
        <w:t>市场监督管理局</w:t>
      </w:r>
      <w:r>
        <w:rPr>
          <w:rFonts w:hint="eastAsia" w:ascii="方正小标宋简体" w:eastAsia="方正小标宋简体"/>
          <w:kern w:val="36"/>
          <w:sz w:val="44"/>
          <w:szCs w:val="44"/>
        </w:rPr>
        <w:t>202</w:t>
      </w:r>
      <w:r>
        <w:rPr>
          <w:rFonts w:hint="eastAsia" w:ascii="方正小标宋简体" w:eastAsia="方正小标宋简体"/>
          <w:kern w:val="36"/>
          <w:sz w:val="44"/>
          <w:szCs w:val="44"/>
          <w:lang w:val="en-US" w:eastAsia="zh-CN"/>
        </w:rPr>
        <w:t>2</w:t>
      </w:r>
      <w:r>
        <w:rPr>
          <w:rFonts w:hint="eastAsia" w:ascii="方正小标宋简体" w:eastAsia="方正小标宋简体"/>
          <w:kern w:val="36"/>
          <w:sz w:val="44"/>
          <w:szCs w:val="44"/>
        </w:rPr>
        <w:t>年</w:t>
      </w:r>
      <w:r>
        <w:rPr>
          <w:rFonts w:hint="eastAsia" w:ascii="方正小标宋简体" w:eastAsia="方正小标宋简体"/>
          <w:kern w:val="36"/>
          <w:sz w:val="44"/>
          <w:szCs w:val="44"/>
          <w:lang w:val="en-US" w:eastAsia="zh-CN"/>
        </w:rPr>
        <w:t>部门整体支出</w:t>
      </w:r>
    </w:p>
    <w:p>
      <w:pPr>
        <w:jc w:val="center"/>
        <w:rPr>
          <w:rFonts w:ascii="方正小标宋简体" w:hAnsi="宋体" w:eastAsia="方正小标宋简体"/>
          <w:color w:val="000000" w:themeColor="text1"/>
          <w:spacing w:val="6"/>
          <w:sz w:val="72"/>
          <w:szCs w:val="72"/>
        </w:rPr>
      </w:pPr>
      <w:r>
        <w:rPr>
          <w:rFonts w:hint="eastAsia" w:ascii="方正小标宋简体" w:hAnsi="宋体" w:eastAsia="方正小标宋简体"/>
          <w:color w:val="000000" w:themeColor="text1"/>
          <w:spacing w:val="6"/>
          <w:sz w:val="72"/>
          <w:szCs w:val="72"/>
        </w:rPr>
        <w:t>绩效评价报告</w:t>
      </w:r>
    </w:p>
    <w:p>
      <w:pPr>
        <w:spacing w:line="579" w:lineRule="exact"/>
        <w:jc w:val="center"/>
        <w:rPr>
          <w:rFonts w:ascii="方正小标宋简体" w:eastAsia="方正小标宋简体"/>
          <w:kern w:val="0"/>
          <w:sz w:val="32"/>
          <w:szCs w:val="32"/>
        </w:rPr>
      </w:pPr>
    </w:p>
    <w:p>
      <w:pPr>
        <w:spacing w:line="579" w:lineRule="exact"/>
        <w:jc w:val="center"/>
        <w:rPr>
          <w:rFonts w:ascii="方正小标宋简体" w:hAnsi="Arial Narrow" w:eastAsia="方正小标宋简体"/>
          <w:spacing w:val="6"/>
          <w:kern w:val="0"/>
          <w:sz w:val="44"/>
          <w:szCs w:val="40"/>
        </w:rPr>
      </w:pPr>
    </w:p>
    <w:p>
      <w:pPr>
        <w:spacing w:line="579" w:lineRule="exact"/>
        <w:jc w:val="center"/>
        <w:rPr>
          <w:rFonts w:ascii="方正小标宋简体" w:hAnsi="Arial Narrow" w:eastAsia="方正小标宋简体"/>
          <w:spacing w:val="6"/>
          <w:kern w:val="0"/>
          <w:sz w:val="44"/>
          <w:szCs w:val="40"/>
        </w:rPr>
      </w:pPr>
    </w:p>
    <w:p>
      <w:pPr>
        <w:spacing w:line="579" w:lineRule="exact"/>
        <w:jc w:val="center"/>
        <w:rPr>
          <w:rFonts w:ascii="方正小标宋简体" w:hAnsi="Arial Narrow" w:eastAsia="方正小标宋简体"/>
          <w:spacing w:val="6"/>
          <w:kern w:val="0"/>
          <w:sz w:val="44"/>
          <w:szCs w:val="40"/>
        </w:rPr>
      </w:pPr>
    </w:p>
    <w:p>
      <w:pPr>
        <w:spacing w:line="579" w:lineRule="exact"/>
        <w:jc w:val="both"/>
        <w:rPr>
          <w:rFonts w:ascii="方正小标宋简体" w:hAnsi="Arial Narrow" w:eastAsia="方正小标宋简体"/>
          <w:spacing w:val="6"/>
          <w:kern w:val="0"/>
          <w:sz w:val="44"/>
          <w:szCs w:val="40"/>
        </w:rPr>
      </w:pPr>
    </w:p>
    <w:p>
      <w:pPr>
        <w:adjustRightInd w:val="0"/>
        <w:spacing w:line="579" w:lineRule="exact"/>
        <w:rPr>
          <w:rFonts w:ascii="黑体" w:hAnsi="宋体" w:eastAsia="黑体"/>
          <w:color w:val="000000" w:themeColor="text1"/>
          <w:spacing w:val="6"/>
          <w:szCs w:val="30"/>
        </w:rPr>
      </w:pPr>
    </w:p>
    <w:p>
      <w:pPr>
        <w:adjustRightInd w:val="0"/>
        <w:spacing w:line="579" w:lineRule="exact"/>
        <w:rPr>
          <w:rFonts w:ascii="黑体" w:hAnsi="宋体" w:eastAsia="黑体"/>
          <w:color w:val="000000" w:themeColor="text1"/>
          <w:spacing w:val="6"/>
          <w:szCs w:val="30"/>
        </w:rPr>
      </w:pPr>
    </w:p>
    <w:p>
      <w:pPr>
        <w:adjustRightInd w:val="0"/>
        <w:spacing w:line="579" w:lineRule="exact"/>
        <w:rPr>
          <w:rFonts w:ascii="黑体" w:hAnsi="宋体" w:eastAsia="黑体"/>
          <w:color w:val="000000" w:themeColor="text1"/>
          <w:spacing w:val="6"/>
          <w:szCs w:val="30"/>
        </w:rPr>
      </w:pPr>
      <w:r>
        <w:rPr>
          <w:rFonts w:hint="eastAsia" w:ascii="黑体" w:hAnsi="宋体" w:eastAsia="黑体"/>
          <w:color w:val="000000" w:themeColor="text1"/>
          <w:spacing w:val="6"/>
          <w:szCs w:val="30"/>
        </w:rPr>
        <w:t>委托单位名称：</w:t>
      </w:r>
      <w:r>
        <w:rPr>
          <w:rFonts w:hint="eastAsia" w:ascii="黑体" w:hAnsi="宋体" w:eastAsia="黑体"/>
          <w:color w:val="000000" w:themeColor="text1"/>
          <w:spacing w:val="6"/>
          <w:szCs w:val="30"/>
          <w:lang w:val="en-US" w:eastAsia="zh-CN"/>
        </w:rPr>
        <w:t>玉溪市财政局</w:t>
      </w:r>
      <w:r>
        <w:rPr>
          <w:rFonts w:hint="eastAsia" w:ascii="黑体" w:hAnsi="宋体" w:eastAsia="黑体"/>
          <w:color w:val="000000" w:themeColor="text1"/>
          <w:spacing w:val="6"/>
          <w:szCs w:val="30"/>
        </w:rPr>
        <w:t>（章）</w:t>
      </w:r>
    </w:p>
    <w:p>
      <w:pPr>
        <w:pStyle w:val="2"/>
        <w:ind w:left="0" w:leftChars="0" w:firstLine="0" w:firstLineChars="0"/>
      </w:pPr>
    </w:p>
    <w:p>
      <w:pPr>
        <w:pStyle w:val="2"/>
        <w:ind w:left="0" w:leftChars="0" w:firstLine="0" w:firstLineChars="0"/>
        <w:rPr>
          <w:rFonts w:hint="eastAsia"/>
        </w:rPr>
      </w:pPr>
    </w:p>
    <w:p>
      <w:pPr>
        <w:pStyle w:val="2"/>
        <w:ind w:left="0" w:leftChars="0" w:firstLine="0" w:firstLineChars="0"/>
        <w:rPr>
          <w:rFonts w:hint="eastAsia"/>
        </w:rPr>
      </w:pPr>
      <w:r>
        <w:rPr>
          <w:rFonts w:hint="eastAsia" w:ascii="黑体" w:hAnsi="宋体" w:eastAsia="黑体"/>
          <w:color w:val="000000" w:themeColor="text1"/>
          <w:spacing w:val="6"/>
          <w:szCs w:val="30"/>
        </w:rPr>
        <w:t>评价机构名称：</w:t>
      </w:r>
      <w:r>
        <w:rPr>
          <w:rFonts w:hint="eastAsia" w:ascii="黑体" w:hAnsi="宋体" w:eastAsia="黑体"/>
          <w:color w:val="000000" w:themeColor="text1"/>
          <w:spacing w:val="6"/>
          <w:szCs w:val="30"/>
          <w:lang w:val="en-US" w:eastAsia="zh-CN"/>
        </w:rPr>
        <w:t>华昆工程管理咨询有限公司</w:t>
      </w:r>
      <w:r>
        <w:rPr>
          <w:rFonts w:hint="eastAsia" w:ascii="黑体" w:hAnsi="宋体" w:eastAsia="黑体"/>
          <w:color w:val="000000" w:themeColor="text1"/>
          <w:spacing w:val="6"/>
          <w:szCs w:val="30"/>
        </w:rPr>
        <w:t>（章）</w:t>
      </w:r>
    </w:p>
    <w:p>
      <w:pPr>
        <w:pStyle w:val="2"/>
        <w:ind w:left="0" w:leftChars="0" w:firstLine="0" w:firstLineChars="0"/>
        <w:rPr>
          <w:rFonts w:hint="eastAsia"/>
        </w:rPr>
      </w:pPr>
    </w:p>
    <w:p>
      <w:pPr>
        <w:pStyle w:val="2"/>
        <w:ind w:left="0" w:leftChars="0" w:firstLine="0" w:firstLineChars="0"/>
        <w:rPr>
          <w:rFonts w:hint="eastAsia"/>
        </w:rPr>
      </w:pPr>
    </w:p>
    <w:p>
      <w:pPr>
        <w:autoSpaceDE w:val="0"/>
        <w:autoSpaceDN w:val="0"/>
        <w:adjustRightInd w:val="0"/>
        <w:spacing w:line="579" w:lineRule="exact"/>
        <w:rPr>
          <w:rFonts w:hint="default" w:ascii="黑体" w:hAnsi="宋体" w:eastAsia="黑体"/>
          <w:color w:val="000000" w:themeColor="text1"/>
          <w:spacing w:val="6"/>
          <w:szCs w:val="30"/>
          <w:lang w:val="en-US" w:eastAsia="zh-CN"/>
        </w:rPr>
      </w:pPr>
      <w:r>
        <w:rPr>
          <w:rFonts w:hint="eastAsia" w:ascii="黑体" w:hAnsi="宋体" w:eastAsia="黑体"/>
          <w:color w:val="000000" w:themeColor="text1"/>
          <w:spacing w:val="6"/>
          <w:szCs w:val="30"/>
        </w:rPr>
        <w:t>报告编号：</w:t>
      </w:r>
      <w:r>
        <w:rPr>
          <w:rFonts w:ascii="黑体" w:hAnsi="宋体" w:eastAsia="黑体"/>
          <w:color w:val="000000" w:themeColor="text1"/>
          <w:spacing w:val="6"/>
          <w:szCs w:val="30"/>
        </w:rPr>
        <w:t>YCJ2023001-008</w:t>
      </w:r>
    </w:p>
    <w:p>
      <w:pPr>
        <w:autoSpaceDE w:val="0"/>
        <w:autoSpaceDN w:val="0"/>
        <w:adjustRightInd w:val="0"/>
        <w:spacing w:line="579" w:lineRule="exact"/>
        <w:rPr>
          <w:rFonts w:hint="default" w:ascii="仿宋_GB2312" w:hAnsi="Arial Narrow" w:eastAsia="黑体"/>
          <w:spacing w:val="6"/>
          <w:kern w:val="0"/>
          <w:szCs w:val="30"/>
          <w:lang w:val="en-US" w:eastAsia="zh-CN"/>
        </w:rPr>
      </w:pPr>
      <w:r>
        <w:rPr>
          <w:rFonts w:hint="eastAsia" w:ascii="黑体" w:hAnsi="宋体" w:eastAsia="黑体"/>
          <w:color w:val="000000" w:themeColor="text1"/>
          <w:spacing w:val="6"/>
          <w:szCs w:val="30"/>
        </w:rPr>
        <w:t>评价报告出具时间：</w:t>
      </w:r>
      <w:r>
        <w:rPr>
          <w:rFonts w:hint="eastAsia" w:ascii="黑体" w:hAnsi="宋体" w:eastAsia="黑体"/>
          <w:color w:val="000000" w:themeColor="text1"/>
          <w:spacing w:val="6"/>
          <w:szCs w:val="30"/>
          <w:lang w:val="en-US" w:eastAsia="zh-CN"/>
        </w:rPr>
        <w:t>2023</w:t>
      </w:r>
      <w:r>
        <w:rPr>
          <w:rFonts w:ascii="黑体" w:hAnsi="宋体" w:eastAsia="黑体"/>
          <w:color w:val="000000" w:themeColor="text1"/>
          <w:spacing w:val="6"/>
          <w:szCs w:val="30"/>
        </w:rPr>
        <w:t>年</w:t>
      </w:r>
      <w:bookmarkEnd w:id="0"/>
      <w:r>
        <w:rPr>
          <w:rFonts w:hint="eastAsia" w:ascii="黑体" w:hAnsi="宋体" w:eastAsia="黑体"/>
          <w:color w:val="000000" w:themeColor="text1"/>
          <w:spacing w:val="6"/>
          <w:szCs w:val="30"/>
          <w:lang w:val="en-US" w:eastAsia="zh-CN"/>
        </w:rPr>
        <w:t>10月</w:t>
      </w:r>
    </w:p>
    <w:p>
      <w:pPr>
        <w:widowControl/>
        <w:spacing w:line="400" w:lineRule="exact"/>
        <w:jc w:val="center"/>
        <w:rPr>
          <w:rFonts w:asciiTheme="minorEastAsia" w:hAnsiTheme="minorEastAsia" w:eastAsiaTheme="minorEastAsia"/>
          <w:b/>
          <w:sz w:val="40"/>
          <w:szCs w:val="40"/>
          <w:highlight w:val="none"/>
          <w:lang w:val="zh-CN"/>
        </w:rPr>
      </w:pPr>
      <w:r>
        <w:rPr>
          <w:rFonts w:hint="eastAsia" w:asciiTheme="minorEastAsia" w:hAnsiTheme="minorEastAsia" w:eastAsiaTheme="minorEastAsia"/>
          <w:b/>
          <w:sz w:val="40"/>
          <w:szCs w:val="40"/>
          <w:highlight w:val="none"/>
          <w:lang w:val="zh-CN"/>
        </w:rPr>
        <w:t>目  录</w:t>
      </w:r>
    </w:p>
    <w:p>
      <w:pPr>
        <w:widowControl/>
        <w:spacing w:line="400" w:lineRule="exact"/>
        <w:jc w:val="center"/>
        <w:rPr>
          <w:rFonts w:asciiTheme="minorEastAsia" w:hAnsiTheme="minorEastAsia" w:eastAsiaTheme="minorEastAsia"/>
          <w:b/>
          <w:sz w:val="36"/>
          <w:szCs w:val="36"/>
        </w:rPr>
      </w:pPr>
    </w:p>
    <w:sdt>
      <w:sdtPr>
        <w:rPr>
          <w:rFonts w:ascii="仿宋_GB2312" w:hAnsi="Times New Roman" w:eastAsia="仿宋_GB2312"/>
          <w:b/>
          <w:bCs/>
          <w:kern w:val="30"/>
          <w:sz w:val="24"/>
          <w:szCs w:val="24"/>
          <w:lang w:val="zh-CN"/>
        </w:rPr>
        <w:id w:val="-1"/>
      </w:sdtPr>
      <w:sdtEndPr>
        <w:rPr>
          <w:rFonts w:hint="eastAsia" w:ascii="宋体" w:hAnsi="宋体" w:eastAsia="宋体" w:cs="宋体"/>
          <w:b w:val="0"/>
          <w:bCs w:val="0"/>
          <w:kern w:val="0"/>
          <w:sz w:val="28"/>
          <w:szCs w:val="28"/>
          <w:lang w:val="en-US"/>
        </w:rPr>
      </w:sdtEndPr>
      <w:sdtContent>
        <w:p>
          <w:pPr>
            <w:pStyle w:val="16"/>
            <w:rPr>
              <w:rFonts w:hint="eastAsia" w:ascii="宋体" w:hAnsi="宋体" w:eastAsia="宋体" w:cs="宋体"/>
              <w:color w:val="0000FF" w:themeColor="hyperlink"/>
              <w:kern w:val="0"/>
              <w:sz w:val="28"/>
              <w:szCs w:val="28"/>
              <w:u w:val="single"/>
              <w:lang w:val="en-US" w:eastAsia="zh-CN" w:bidi="ar-SA"/>
            </w:rPr>
          </w:pPr>
          <w:r>
            <w:rPr>
              <w:rStyle w:val="25"/>
              <w:rFonts w:hint="eastAsia" w:ascii="宋体" w:hAnsi="宋体" w:eastAsia="宋体" w:cs="宋体"/>
              <w:sz w:val="28"/>
              <w:szCs w:val="28"/>
            </w:rPr>
            <w:fldChar w:fldCharType="begin"/>
          </w:r>
          <w:r>
            <w:rPr>
              <w:rStyle w:val="25"/>
              <w:rFonts w:hint="eastAsia" w:ascii="宋体" w:hAnsi="宋体" w:eastAsia="宋体" w:cs="宋体"/>
              <w:sz w:val="28"/>
              <w:szCs w:val="28"/>
            </w:rPr>
            <w:instrText xml:space="preserve"> TOC \o "1-3" \h \z \u </w:instrText>
          </w:r>
          <w:r>
            <w:rPr>
              <w:rStyle w:val="25"/>
              <w:rFonts w:hint="eastAsia" w:ascii="宋体" w:hAnsi="宋体" w:eastAsia="宋体" w:cs="宋体"/>
              <w:sz w:val="28"/>
              <w:szCs w:val="28"/>
            </w:rPr>
            <w:fldChar w:fldCharType="separate"/>
          </w:r>
        </w:p>
        <w:p>
          <w:pPr>
            <w:pStyle w:val="16"/>
            <w:tabs>
              <w:tab w:val="right" w:leader="dot" w:pos="8958"/>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958"/>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_Toc9959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_Toc9959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_Toc8711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kern w:val="30"/>
              <w:sz w:val="28"/>
              <w:szCs w:val="28"/>
            </w:rPr>
            <w:t>（一）部门概况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_Toc8711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_Toc17650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（二）部门预算批复及资金安排情况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_Toc17650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_Toc2237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w:t>
          </w:r>
          <w:r>
            <w:rPr>
              <w:rFonts w:hint="eastAsia" w:ascii="宋体" w:hAnsi="宋体" w:eastAsia="宋体" w:cs="宋体"/>
              <w:b w:val="0"/>
              <w:bCs w:val="0"/>
              <w:spacing w:val="6"/>
              <w:sz w:val="28"/>
              <w:szCs w:val="28"/>
              <w:lang w:val="en-US" w:eastAsia="zh-CN"/>
            </w:rPr>
            <w:t>三</w:t>
          </w:r>
          <w:r>
            <w:rPr>
              <w:rFonts w:hint="eastAsia" w:ascii="宋体" w:hAnsi="宋体" w:eastAsia="宋体" w:cs="宋体"/>
              <w:b w:val="0"/>
              <w:bCs w:val="0"/>
              <w:spacing w:val="6"/>
              <w:sz w:val="28"/>
              <w:szCs w:val="28"/>
            </w:rPr>
            <w:t>）绩效目标设立情况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_Toc15206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w:t>
          </w:r>
          <w:r>
            <w:rPr>
              <w:rFonts w:hint="eastAsia" w:ascii="宋体" w:hAnsi="宋体" w:eastAsia="宋体" w:cs="宋体"/>
              <w:b w:val="0"/>
              <w:bCs w:val="0"/>
              <w:spacing w:val="6"/>
              <w:sz w:val="28"/>
              <w:szCs w:val="28"/>
              <w:lang w:val="en-US" w:eastAsia="zh-CN"/>
            </w:rPr>
            <w:t>四</w:t>
          </w:r>
          <w:r>
            <w:rPr>
              <w:rFonts w:hint="eastAsia" w:ascii="宋体" w:hAnsi="宋体" w:eastAsia="宋体" w:cs="宋体"/>
              <w:b w:val="0"/>
              <w:bCs w:val="0"/>
              <w:spacing w:val="6"/>
              <w:sz w:val="28"/>
              <w:szCs w:val="28"/>
            </w:rPr>
            <w:t>）组织管理情况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_Toc15206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958"/>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_Toc24130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eastAsia="zh-CN"/>
            </w:rPr>
            <w:t>二</w:t>
          </w:r>
          <w:r>
            <w:rPr>
              <w:rFonts w:hint="eastAsia" w:ascii="宋体" w:hAnsi="宋体" w:eastAsia="宋体" w:cs="宋体"/>
              <w:b w:val="0"/>
              <w:bCs w:val="0"/>
              <w:spacing w:val="6"/>
              <w:sz w:val="28"/>
              <w:szCs w:val="28"/>
            </w:rPr>
            <w:t>、绩效</w:t>
          </w:r>
          <w:r>
            <w:rPr>
              <w:rFonts w:hint="eastAsia" w:ascii="宋体" w:hAnsi="宋体" w:eastAsia="宋体" w:cs="宋体"/>
              <w:b w:val="0"/>
              <w:bCs w:val="0"/>
              <w:spacing w:val="6"/>
              <w:sz w:val="28"/>
              <w:szCs w:val="28"/>
              <w:lang w:eastAsia="zh-CN"/>
            </w:rPr>
            <w:t>评价工作开展</w:t>
          </w:r>
          <w:r>
            <w:rPr>
              <w:rFonts w:hint="eastAsia" w:ascii="宋体" w:hAnsi="宋体" w:eastAsia="宋体" w:cs="宋体"/>
              <w:b w:val="0"/>
              <w:bCs w:val="0"/>
              <w:spacing w:val="6"/>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_Toc24130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_Toc26202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（一）绩效</w:t>
          </w:r>
          <w:r>
            <w:rPr>
              <w:rFonts w:hint="eastAsia" w:ascii="宋体" w:hAnsi="宋体" w:eastAsia="宋体" w:cs="宋体"/>
              <w:b w:val="0"/>
              <w:bCs w:val="0"/>
              <w:spacing w:val="6"/>
              <w:sz w:val="28"/>
              <w:szCs w:val="28"/>
              <w:lang w:eastAsia="zh-CN"/>
            </w:rPr>
            <w:t>评价目的、对象和范围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_Toc26202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_Toc22653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（二）绩效</w:t>
          </w:r>
          <w:r>
            <w:rPr>
              <w:rFonts w:hint="eastAsia" w:ascii="宋体" w:hAnsi="宋体" w:eastAsia="宋体" w:cs="宋体"/>
              <w:b w:val="0"/>
              <w:bCs w:val="0"/>
              <w:spacing w:val="6"/>
              <w:sz w:val="28"/>
              <w:szCs w:val="28"/>
              <w:lang w:eastAsia="zh-CN"/>
            </w:rPr>
            <w:t>评价原则、评价指标体系、评价方法、评价标准和评价抽样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_Toc22653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_Toc3458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（三）绩效</w:t>
          </w:r>
          <w:r>
            <w:rPr>
              <w:rFonts w:hint="eastAsia" w:ascii="宋体" w:hAnsi="宋体" w:eastAsia="宋体" w:cs="宋体"/>
              <w:b w:val="0"/>
              <w:bCs w:val="0"/>
              <w:spacing w:val="6"/>
              <w:sz w:val="28"/>
              <w:szCs w:val="28"/>
              <w:lang w:eastAsia="zh-CN"/>
            </w:rPr>
            <w:t>评价工作过程</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_Toc3458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958"/>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highlight w:val="none"/>
              <w:lang w:eastAsia="zh-CN"/>
            </w:rPr>
            <w:t>三</w:t>
          </w:r>
          <w:r>
            <w:rPr>
              <w:rFonts w:hint="eastAsia" w:ascii="宋体" w:hAnsi="宋体" w:eastAsia="宋体" w:cs="宋体"/>
              <w:b w:val="0"/>
              <w:bCs w:val="0"/>
              <w:spacing w:val="6"/>
              <w:sz w:val="28"/>
              <w:szCs w:val="28"/>
              <w:highlight w:val="none"/>
            </w:rPr>
            <w:t>、绩效评价结论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958"/>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_Toc14248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_Toc14248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958"/>
              <w:tab w:val="clear" w:pos="8931"/>
            </w:tabs>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_Toc4470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四</w:t>
          </w:r>
          <w:r>
            <w:rPr>
              <w:rFonts w:hint="eastAsia" w:ascii="宋体" w:hAnsi="宋体" w:eastAsia="宋体" w:cs="宋体"/>
              <w:b w:val="0"/>
              <w:bCs w:val="0"/>
              <w:spacing w:val="6"/>
              <w:sz w:val="28"/>
              <w:szCs w:val="28"/>
              <w:lang w:val="en-US" w:eastAsia="zh-CN"/>
            </w:rPr>
            <w:t>、取得成效</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7</w:t>
          </w:r>
        </w:p>
        <w:p>
          <w:pPr>
            <w:pStyle w:val="16"/>
            <w:tabs>
              <w:tab w:val="right" w:leader="dot" w:pos="8958"/>
              <w:tab w:val="clear" w:pos="8931"/>
            </w:tabs>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_Toc7709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CN"/>
            </w:rPr>
            <w:t>五、</w:t>
          </w:r>
          <w:r>
            <w:rPr>
              <w:rFonts w:hint="eastAsia" w:ascii="宋体" w:hAnsi="宋体" w:eastAsia="宋体" w:cs="宋体"/>
              <w:b w:val="0"/>
              <w:bCs w:val="0"/>
              <w:spacing w:val="6"/>
              <w:sz w:val="28"/>
              <w:szCs w:val="28"/>
              <w:lang w:eastAsia="zh-CN"/>
            </w:rPr>
            <w:t>存在问题</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8</w:t>
          </w:r>
        </w:p>
        <w:p>
          <w:pPr>
            <w:pStyle w:val="18"/>
            <w:tabs>
              <w:tab w:val="right" w:leader="dot" w:pos="8958"/>
              <w:tab w:val="clear" w:pos="8789"/>
            </w:tabs>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_Toc16992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CN"/>
            </w:rPr>
            <w:t>（一）重点工作任务</w:t>
          </w:r>
          <w:r>
            <w:rPr>
              <w:rFonts w:hint="eastAsia" w:ascii="宋体" w:hAnsi="宋体" w:eastAsia="宋体" w:cs="宋体"/>
              <w:b w:val="0"/>
              <w:bCs w:val="0"/>
              <w:spacing w:val="6"/>
              <w:sz w:val="28"/>
              <w:szCs w:val="28"/>
              <w:highlight w:val="none"/>
              <w:lang w:val="en-US" w:eastAsia="zh-CN"/>
            </w:rPr>
            <w:t>未全面完成，监督力度不够</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38</w:t>
          </w:r>
        </w:p>
        <w:p>
          <w:pPr>
            <w:pStyle w:val="18"/>
            <w:tabs>
              <w:tab w:val="right" w:leader="dot" w:pos="8958"/>
              <w:tab w:val="clear" w:pos="8789"/>
            </w:tabs>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_Toc2469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CN"/>
            </w:rPr>
            <w:t>（二）资产管理不规范，信息更新不及时</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9</w:t>
          </w:r>
        </w:p>
        <w:p>
          <w:pPr>
            <w:pStyle w:val="16"/>
            <w:tabs>
              <w:tab w:val="right" w:leader="dot" w:pos="8958"/>
              <w:tab w:val="clear" w:pos="8931"/>
            </w:tabs>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_Toc16620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六</w:t>
          </w:r>
          <w:r>
            <w:rPr>
              <w:rFonts w:hint="eastAsia" w:ascii="宋体" w:hAnsi="宋体" w:eastAsia="宋体" w:cs="宋体"/>
              <w:b w:val="0"/>
              <w:bCs w:val="0"/>
              <w:spacing w:val="6"/>
              <w:sz w:val="28"/>
              <w:szCs w:val="28"/>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9</w:t>
          </w:r>
        </w:p>
        <w:p>
          <w:pPr>
            <w:pStyle w:val="18"/>
            <w:tabs>
              <w:tab w:val="right" w:leader="dot" w:pos="8958"/>
              <w:tab w:val="clear" w:pos="8789"/>
            </w:tabs>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CN"/>
            </w:rPr>
            <w:t>（一）强化监管职责，保障重点工作任务推进</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9</w:t>
          </w:r>
        </w:p>
        <w:p>
          <w:pPr>
            <w:pStyle w:val="18"/>
            <w:tabs>
              <w:tab w:val="right" w:leader="dot" w:pos="8958"/>
              <w:tab w:val="clear" w:pos="8789"/>
            </w:tabs>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_Toc21834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CN"/>
            </w:rPr>
            <w:t>（二）优化资产管理，动态更新信息</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0</w:t>
          </w:r>
        </w:p>
        <w:p>
          <w:pPr>
            <w:pStyle w:val="16"/>
            <w:tabs>
              <w:tab w:val="right" w:leader="dot" w:pos="8958"/>
              <w:tab w:val="clear" w:pos="8931"/>
            </w:tabs>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_Toc22282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pacing w:val="6"/>
              <w:sz w:val="28"/>
              <w:szCs w:val="28"/>
              <w:lang w:val="en-US" w:eastAsia="zh-CN"/>
            </w:rPr>
            <w:t>七</w:t>
          </w:r>
          <w:r>
            <w:rPr>
              <w:rFonts w:hint="eastAsia" w:ascii="宋体" w:hAnsi="宋体" w:eastAsia="宋体" w:cs="宋体"/>
              <w:b w:val="0"/>
              <w:bCs w:val="0"/>
              <w:spacing w:val="6"/>
              <w:sz w:val="28"/>
              <w:szCs w:val="28"/>
            </w:rPr>
            <w:t>、其它需说明的情况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lang w:val="en-US" w:eastAsia="zh-CN"/>
            </w:rPr>
            <w:t>0</w:t>
          </w:r>
        </w:p>
        <w:p>
          <w:pPr>
            <w:pStyle w:val="16"/>
            <w:rPr>
              <w:rFonts w:hint="eastAsia" w:ascii="宋体" w:hAnsi="宋体" w:eastAsia="宋体" w:cs="宋体"/>
              <w:sz w:val="28"/>
              <w:szCs w:val="28"/>
            </w:rPr>
          </w:pPr>
          <w:r>
            <w:rPr>
              <w:rStyle w:val="25"/>
              <w:rFonts w:hint="eastAsia" w:ascii="宋体" w:hAnsi="宋体" w:eastAsia="宋体" w:cs="宋体"/>
              <w:sz w:val="28"/>
              <w:szCs w:val="28"/>
            </w:rPr>
            <w:fldChar w:fldCharType="end"/>
          </w:r>
        </w:p>
      </w:sdtContent>
    </w:sdt>
    <w:p>
      <w:pPr>
        <w:overflowPunct w:val="0"/>
        <w:spacing w:line="579" w:lineRule="exact"/>
        <w:jc w:val="center"/>
        <w:outlineLvl w:val="0"/>
        <w:rPr>
          <w:rFonts w:hint="eastAsia" w:ascii="宋体" w:hAnsi="宋体" w:eastAsia="宋体" w:cs="宋体"/>
          <w:sz w:val="28"/>
          <w:szCs w:val="28"/>
        </w:rPr>
        <w:sectPr>
          <w:footerReference r:id="rId4" w:type="default"/>
          <w:type w:val="oddPage"/>
          <w:pgSz w:w="11906" w:h="16838"/>
          <w:pgMar w:top="1984" w:right="1474" w:bottom="1871" w:left="1474" w:header="851" w:footer="1474" w:gutter="0"/>
          <w:pgNumType w:fmt="lowerRoman" w:start="1"/>
          <w:cols w:space="425" w:num="1"/>
          <w:docGrid w:type="linesAndChars" w:linePitch="579" w:charSpace="3247"/>
        </w:sectPr>
      </w:pP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jc w:val="center"/>
        <w:textAlignment w:val="auto"/>
        <w:outlineLvl w:val="0"/>
        <w:rPr>
          <w:rFonts w:ascii="方正小标宋简体" w:eastAsia="方正小标宋简体"/>
          <w:spacing w:val="6"/>
          <w:sz w:val="44"/>
          <w:szCs w:val="44"/>
        </w:rPr>
      </w:pPr>
      <w:bookmarkStart w:id="1" w:name="_Toc3231"/>
      <w:bookmarkStart w:id="2" w:name="_Toc14379"/>
      <w:r>
        <w:rPr>
          <w:rFonts w:hint="eastAsia" w:ascii="方正小标宋简体" w:eastAsia="方正小标宋简体"/>
          <w:spacing w:val="6"/>
          <w:sz w:val="44"/>
          <w:szCs w:val="44"/>
        </w:rPr>
        <w:t>摘  要</w:t>
      </w:r>
      <w:bookmarkEnd w:id="1"/>
      <w:bookmarkEnd w:id="2"/>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32"/>
        <w:textAlignment w:val="auto"/>
        <w:rPr>
          <w:rFonts w:hAnsi="仿宋"/>
          <w:spacing w:val="6"/>
          <w:szCs w:val="30"/>
        </w:rPr>
      </w:pP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29"/>
        <w:textAlignment w:val="auto"/>
        <w:rPr>
          <w:rFonts w:ascii="黑体" w:hAnsi="黑体" w:eastAsia="黑体"/>
          <w:spacing w:val="6"/>
          <w:szCs w:val="30"/>
        </w:rPr>
      </w:pPr>
      <w:r>
        <w:rPr>
          <w:rFonts w:hint="eastAsia" w:ascii="黑体" w:hAnsi="黑体" w:eastAsia="黑体"/>
          <w:spacing w:val="6"/>
          <w:szCs w:val="30"/>
        </w:rPr>
        <w:t>一、基本情况</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ascii="楷体" w:hAnsi="楷体" w:eastAsia="楷体" w:cs="楷体"/>
          <w:lang w:val="en-US" w:eastAsia="zh-CN"/>
        </w:rPr>
      </w:pPr>
      <w:r>
        <w:rPr>
          <w:rFonts w:hint="eastAsia" w:ascii="楷体" w:hAnsi="楷体" w:eastAsia="楷体" w:cs="楷体"/>
          <w:lang w:val="en-US" w:eastAsia="zh-CN"/>
        </w:rPr>
        <w:t>（一）行业背景</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jc w:val="both"/>
        <w:textAlignment w:val="auto"/>
        <w:rPr>
          <w:rFonts w:hint="eastAsia" w:hAnsi="仿宋" w:eastAsia="仿宋" w:cs="Times New Roman"/>
          <w:szCs w:val="30"/>
          <w:lang w:eastAsia="zh-CN"/>
        </w:rPr>
      </w:pPr>
      <w:r>
        <w:rPr>
          <w:rFonts w:hint="eastAsia" w:hAnsi="仿宋" w:cs="Times New Roman"/>
          <w:szCs w:val="30"/>
        </w:rPr>
        <w:t>市场是全球最稀缺的资源。经过多年发展，我国已形成超大规模市场，这是构建新发展格局的独特优势和必要条件</w:t>
      </w:r>
      <w:r>
        <w:rPr>
          <w:rFonts w:hint="eastAsia" w:hAnsi="仿宋" w:cs="Times New Roman"/>
          <w:szCs w:val="30"/>
          <w:lang w:eastAsia="zh-CN"/>
        </w:rPr>
        <w:t>。</w:t>
      </w:r>
      <w:r>
        <w:rPr>
          <w:rFonts w:hint="eastAsia" w:hAnsi="仿宋" w:cs="Times New Roman"/>
          <w:szCs w:val="30"/>
        </w:rPr>
        <w:t>与此同时，随着经济总量和各类市场主体快速增长，合作和竞争、优胜和劣汰格局深刻演化；商品和服务市场在相互渗透中加快融合，线上和线下市场在并行交织中形成复杂生态，新产业新业态新模式不断涌现，效率和公平、创新和保护的需求更趋多元；构建新发展格局过程中，国内市场国际化、国际市场中国因素增多的特征更加明显；人民群众对消费安全和消费升级的期待不断提高。</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jc w:val="both"/>
        <w:textAlignment w:val="auto"/>
        <w:rPr>
          <w:rFonts w:hint="eastAsia" w:hAnsi="仿宋" w:eastAsia="仿宋" w:cs="Times New Roman"/>
          <w:szCs w:val="30"/>
          <w:lang w:eastAsia="zh-CN"/>
        </w:rPr>
      </w:pPr>
      <w:r>
        <w:rPr>
          <w:rFonts w:hint="eastAsia" w:hAnsi="仿宋" w:cs="Times New Roman"/>
          <w:szCs w:val="30"/>
        </w:rPr>
        <w:t>创新和完善市场监管，推进市场监管现代化，是建立统一开放竞争有序的现代市场体系的客观需要，是完善社会主义市场经济体制的内在要求。</w:t>
      </w:r>
      <w:r>
        <w:rPr>
          <w:rFonts w:hint="eastAsia" w:hAnsi="仿宋" w:cs="Times New Roman"/>
          <w:szCs w:val="30"/>
          <w:lang w:val="en-US" w:eastAsia="zh-CN"/>
        </w:rPr>
        <w:t>多年来，玉溪市市场监管体系逐步完善，</w:t>
      </w:r>
      <w:r>
        <w:rPr>
          <w:rFonts w:hint="eastAsia" w:hAnsi="仿宋" w:cs="Times New Roman"/>
          <w:szCs w:val="30"/>
        </w:rPr>
        <w:t>围绕省委省政府把玉溪建成“一极两区”发展目标，即滇中崛起增长极，乡村振兴示范区、共同富裕示范区，市场监管系统切实转变监管理念，创新监管方式，着重在提升质量高线、创新智慧监管、实现多元共治、完善监管体制、健全监管机制、优化监管环境等方面做出重大改革举措，着力在形成宽松便捷的营商环境、公平有序的竞争环境、安全放心的消费环境、创新驱动的发展环境等方面取得突破，推动形成“大市场、大监管，大安全、大发展”的玉溪市市场监管现代化格局，促进市域社会治理现代化</w:t>
      </w:r>
      <w:r>
        <w:rPr>
          <w:rFonts w:hint="eastAsia" w:hAnsi="仿宋" w:cs="Times New Roman"/>
          <w:szCs w:val="30"/>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jc w:val="both"/>
        <w:textAlignment w:val="auto"/>
        <w:rPr>
          <w:rFonts w:hint="default"/>
          <w:lang w:val="en-US" w:eastAsia="zh-CN"/>
        </w:rPr>
      </w:pPr>
      <w:r>
        <w:rPr>
          <w:rFonts w:hint="eastAsia" w:hAnsi="仿宋" w:cs="Times New Roman"/>
          <w:szCs w:val="30"/>
          <w:lang w:val="en-US" w:eastAsia="zh-CN"/>
        </w:rPr>
        <w:t>2019年</w:t>
      </w:r>
      <w:r>
        <w:rPr>
          <w:rFonts w:hint="eastAsia" w:hAnsi="仿宋" w:cs="Times New Roman"/>
          <w:szCs w:val="30"/>
        </w:rPr>
        <w:t>，</w:t>
      </w:r>
      <w:r>
        <w:rPr>
          <w:rFonts w:hint="eastAsia" w:hAnsi="仿宋"/>
          <w:szCs w:val="30"/>
        </w:rPr>
        <w:t>根据《玉溪市深化市级机构改革实施方案》</w:t>
      </w:r>
      <w:r>
        <w:rPr>
          <w:rFonts w:hint="eastAsia" w:hAnsi="仿宋"/>
          <w:szCs w:val="30"/>
          <w:lang w:eastAsia="zh-CN"/>
        </w:rPr>
        <w:t>（</w:t>
      </w:r>
      <w:r>
        <w:rPr>
          <w:rFonts w:hint="eastAsia" w:hAnsi="仿宋"/>
          <w:szCs w:val="30"/>
        </w:rPr>
        <w:t>玉机改发〔2019〕1号</w:t>
      </w:r>
      <w:r>
        <w:rPr>
          <w:rFonts w:hint="eastAsia" w:hAnsi="仿宋"/>
          <w:szCs w:val="30"/>
          <w:lang w:eastAsia="zh-CN"/>
        </w:rPr>
        <w:t>）</w:t>
      </w:r>
      <w:r>
        <w:rPr>
          <w:rFonts w:hint="eastAsia" w:hAnsi="仿宋"/>
          <w:szCs w:val="30"/>
        </w:rPr>
        <w:t>的通知</w:t>
      </w:r>
      <w:r>
        <w:rPr>
          <w:rFonts w:hint="eastAsia" w:hAnsi="仿宋"/>
          <w:szCs w:val="30"/>
          <w:lang w:eastAsia="zh-CN"/>
        </w:rPr>
        <w:t>，</w:t>
      </w:r>
      <w:r>
        <w:rPr>
          <w:rFonts w:hint="eastAsia" w:hAnsi="仿宋"/>
          <w:szCs w:val="30"/>
          <w:lang w:val="en-US" w:eastAsia="zh-CN"/>
        </w:rPr>
        <w:t>玉溪</w:t>
      </w:r>
      <w:r>
        <w:rPr>
          <w:rFonts w:hint="eastAsia" w:hAnsi="仿宋" w:cs="Times New Roman"/>
          <w:szCs w:val="30"/>
          <w:lang w:val="en-US" w:eastAsia="zh-CN"/>
        </w:rPr>
        <w:t>市委、市政府</w:t>
      </w:r>
      <w:r>
        <w:rPr>
          <w:rFonts w:hint="eastAsia" w:hAnsi="仿宋" w:cs="Times New Roman"/>
          <w:szCs w:val="30"/>
        </w:rPr>
        <w:t>将</w:t>
      </w:r>
      <w:r>
        <w:rPr>
          <w:rFonts w:hint="eastAsia" w:hAnsi="仿宋" w:cs="Times New Roman"/>
          <w:szCs w:val="30"/>
          <w:lang w:val="en-US" w:eastAsia="zh-CN"/>
        </w:rPr>
        <w:t>玉溪</w:t>
      </w:r>
      <w:r>
        <w:rPr>
          <w:rFonts w:hint="eastAsia" w:hAnsi="仿宋" w:cs="Times New Roman"/>
          <w:szCs w:val="30"/>
        </w:rPr>
        <w:t>市工商行政管理局、</w:t>
      </w:r>
      <w:r>
        <w:rPr>
          <w:rFonts w:hint="eastAsia" w:hAnsi="仿宋" w:cs="Times New Roman"/>
          <w:szCs w:val="30"/>
          <w:lang w:val="en-US" w:eastAsia="zh-CN"/>
        </w:rPr>
        <w:t>玉溪</w:t>
      </w:r>
      <w:r>
        <w:rPr>
          <w:rFonts w:hint="eastAsia" w:hAnsi="仿宋" w:cs="Times New Roman"/>
          <w:szCs w:val="30"/>
        </w:rPr>
        <w:t>市质量技术监督局、</w:t>
      </w:r>
      <w:r>
        <w:rPr>
          <w:rFonts w:hint="eastAsia" w:hAnsi="仿宋" w:cs="Times New Roman"/>
          <w:szCs w:val="30"/>
          <w:lang w:val="en-US" w:eastAsia="zh-CN"/>
        </w:rPr>
        <w:t>玉溪</w:t>
      </w:r>
      <w:r>
        <w:rPr>
          <w:rFonts w:hint="eastAsia" w:hAnsi="仿宋" w:cs="Times New Roman"/>
          <w:szCs w:val="30"/>
        </w:rPr>
        <w:t>市食品药品监督管理局</w:t>
      </w:r>
      <w:r>
        <w:rPr>
          <w:rFonts w:hint="eastAsia" w:hAnsi="仿宋" w:cs="Times New Roman"/>
          <w:szCs w:val="30"/>
          <w:lang w:val="en-US" w:eastAsia="zh-CN"/>
        </w:rPr>
        <w:t>的</w:t>
      </w:r>
      <w:r>
        <w:rPr>
          <w:rFonts w:hint="eastAsia" w:hAnsi="仿宋" w:cs="Times New Roman"/>
          <w:szCs w:val="30"/>
        </w:rPr>
        <w:t>职责</w:t>
      </w:r>
      <w:r>
        <w:rPr>
          <w:rFonts w:hint="eastAsia" w:hAnsi="仿宋" w:cs="Times New Roman"/>
          <w:szCs w:val="30"/>
          <w:lang w:eastAsia="zh-CN"/>
        </w:rPr>
        <w:t>、</w:t>
      </w:r>
      <w:r>
        <w:rPr>
          <w:rFonts w:hint="eastAsia" w:hAnsi="仿宋" w:cs="Times New Roman"/>
          <w:szCs w:val="30"/>
          <w:lang w:val="en-US" w:eastAsia="zh-CN"/>
        </w:rPr>
        <w:t>玉溪</w:t>
      </w:r>
      <w:r>
        <w:rPr>
          <w:rFonts w:hint="eastAsia" w:hAnsi="仿宋" w:cs="Times New Roman"/>
          <w:szCs w:val="30"/>
        </w:rPr>
        <w:t>市发展和改革委员会</w:t>
      </w:r>
      <w:r>
        <w:rPr>
          <w:rFonts w:hint="eastAsia" w:hAnsi="仿宋" w:cs="Times New Roman"/>
          <w:szCs w:val="30"/>
          <w:lang w:val="en-US" w:eastAsia="zh-CN"/>
        </w:rPr>
        <w:t>中的</w:t>
      </w:r>
      <w:r>
        <w:rPr>
          <w:rFonts w:hint="eastAsia" w:hAnsi="仿宋" w:cs="Times New Roman"/>
          <w:szCs w:val="30"/>
        </w:rPr>
        <w:t>价格监督检查职责</w:t>
      </w:r>
      <w:r>
        <w:rPr>
          <w:rFonts w:hint="eastAsia" w:hAnsi="仿宋" w:cs="Times New Roman"/>
          <w:szCs w:val="30"/>
          <w:lang w:eastAsia="zh-CN"/>
        </w:rPr>
        <w:t>、</w:t>
      </w:r>
      <w:r>
        <w:rPr>
          <w:rFonts w:hint="eastAsia" w:hAnsi="仿宋" w:cs="Times New Roman"/>
          <w:szCs w:val="30"/>
        </w:rPr>
        <w:t>市科学技术局</w:t>
      </w:r>
      <w:r>
        <w:rPr>
          <w:rFonts w:hint="eastAsia" w:hAnsi="仿宋" w:cs="Times New Roman"/>
          <w:szCs w:val="30"/>
          <w:lang w:val="en-US" w:eastAsia="zh-CN"/>
        </w:rPr>
        <w:t>中的</w:t>
      </w:r>
      <w:r>
        <w:rPr>
          <w:rFonts w:hint="eastAsia" w:hAnsi="仿宋" w:cs="Times New Roman"/>
          <w:szCs w:val="30"/>
        </w:rPr>
        <w:t>知识产权管理职责等整合，组建</w:t>
      </w:r>
      <w:r>
        <w:rPr>
          <w:rFonts w:hint="eastAsia" w:hAnsi="仿宋" w:cs="Times New Roman"/>
          <w:szCs w:val="30"/>
          <w:lang w:val="en-US" w:eastAsia="zh-CN"/>
        </w:rPr>
        <w:t>玉溪市</w:t>
      </w:r>
      <w:r>
        <w:rPr>
          <w:rFonts w:hint="eastAsia" w:hAnsi="仿宋" w:cs="Times New Roman"/>
          <w:szCs w:val="30"/>
        </w:rPr>
        <w:t>市场监督管理局</w:t>
      </w:r>
      <w:r>
        <w:rPr>
          <w:rFonts w:hint="eastAsia" w:hAnsi="仿宋" w:cs="Times New Roman"/>
          <w:szCs w:val="30"/>
          <w:lang w:eastAsia="zh-CN"/>
        </w:rPr>
        <w:t>（</w:t>
      </w:r>
      <w:r>
        <w:rPr>
          <w:rFonts w:hint="eastAsia" w:hAnsi="仿宋" w:cs="Times New Roman"/>
          <w:szCs w:val="30"/>
          <w:lang w:val="en-US" w:eastAsia="zh-CN"/>
        </w:rPr>
        <w:t>以下简称市市场监督管理局</w:t>
      </w:r>
      <w:r>
        <w:rPr>
          <w:rFonts w:hint="eastAsia" w:hAnsi="仿宋" w:cs="Times New Roman"/>
          <w:szCs w:val="30"/>
          <w:lang w:eastAsia="zh-CN"/>
        </w:rPr>
        <w:t>）</w:t>
      </w:r>
      <w:r>
        <w:rPr>
          <w:rFonts w:hint="eastAsia" w:hAnsi="仿宋" w:cs="Times New Roman"/>
          <w:szCs w:val="30"/>
        </w:rPr>
        <w:t>，加挂市政府食品安全委员会办公室、市知识产权局牌子。</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（二）职能职责</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hAnsi="仿宋" w:cs="Times New Roman"/>
          <w:szCs w:val="30"/>
          <w:lang w:val="en-US" w:eastAsia="zh-CN"/>
        </w:rPr>
      </w:pPr>
      <w:r>
        <w:rPr>
          <w:rFonts w:hint="eastAsia" w:hAnsi="仿宋" w:cs="Times New Roman"/>
          <w:szCs w:val="30"/>
          <w:lang w:val="en-US" w:eastAsia="zh-CN"/>
        </w:rPr>
        <w:t>负责市场综合监督管理；负责市场主体统一登记注册；负责组织和指导市场监督管理综合执法工作；负责反垄断统一执法；负责监督管理市场秩序；负责宏观质量管理；负责产品质量安全监督管理；负责特种设备安全监督管理；负责食品安全监督管理综合协调；负责食品安全监督管理；负责药品（ 含中药、民族药，下同 )、医疗器械和化妆品安全监督管理；负责统一管理计量工作；负责统一管理标准化工作；负责统一管理检验检测工作；负责统一管理、监督和协调认证认可工作；负责知识产权管理工作；负责市场监督管理科技和信息化建设、新闻宣传等工作；完成市委、市政府交办的其他任务</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（三）机构设置及人员情况</w:t>
      </w:r>
    </w:p>
    <w:p>
      <w:pPr>
        <w:spacing w:line="590" w:lineRule="exact"/>
        <w:ind w:firstLine="630" w:firstLineChars="200"/>
        <w:rPr>
          <w:rFonts w:hint="default" w:hAnsi="仿宋" w:cs="Times New Roman"/>
          <w:szCs w:val="30"/>
          <w:lang w:val="en-US" w:eastAsia="zh-CN"/>
        </w:rPr>
      </w:pPr>
      <w:r>
        <w:rPr>
          <w:rFonts w:hint="default" w:hAnsi="仿宋" w:cs="Times New Roman"/>
          <w:szCs w:val="30"/>
          <w:lang w:val="en-US" w:eastAsia="zh-CN"/>
        </w:rPr>
        <w:t>市市场监督管理局（本级）内设机构26个和机关党委、离退休人员办公室（正科级）：办公室、政策法规科、行政审批科、执法稽查科、信用监督科、两反科、价格监督科、网络交易监督科、消费环境建设指导科、广告监督科、质量发展科、食品安全协调科、食品生产监督科、食品流通监督科、餐饮食品监督科、药品监督科、疫苗监督科、化妆品监督科、医疗器械监督科、产品抽检科、特种设备安全监察科、计量和认证认可科、标准化科、知识产权科、财务科、人事科。</w:t>
      </w:r>
    </w:p>
    <w:p>
      <w:pPr>
        <w:spacing w:line="590" w:lineRule="exact"/>
        <w:ind w:firstLine="630" w:firstLineChars="200"/>
        <w:rPr>
          <w:rFonts w:hint="eastAsia" w:ascii="楷体" w:hAnsi="楷体" w:eastAsia="楷体" w:cs="楷体"/>
          <w:lang w:val="en-US" w:eastAsia="zh-CN"/>
        </w:rPr>
      </w:pPr>
      <w:r>
        <w:rPr>
          <w:rFonts w:hint="eastAsia" w:hAnsi="仿宋" w:cs="Times New Roman"/>
          <w:szCs w:val="30"/>
          <w:lang w:val="en-US" w:eastAsia="zh-CN"/>
        </w:rPr>
        <w:t>玉溪市市场监督管理局下设5个下属事业单位，分别是：</w:t>
      </w:r>
      <w:r>
        <w:rPr>
          <w:rFonts w:hint="default" w:hAnsi="仿宋" w:cs="Times New Roman"/>
          <w:szCs w:val="30"/>
          <w:lang w:val="en-US" w:eastAsia="zh-CN"/>
        </w:rPr>
        <w:t>玉溪市食品药品检验所、玉溪市121315投诉举报中心、玉溪市知识产权援助中心、玉溪市药品评价中心</w:t>
      </w:r>
      <w:r>
        <w:rPr>
          <w:rFonts w:hint="eastAsia" w:hAnsi="仿宋" w:cs="Times New Roman"/>
          <w:szCs w:val="30"/>
          <w:lang w:val="en-US" w:eastAsia="zh-CN"/>
        </w:rPr>
        <w:t>、</w:t>
      </w:r>
      <w:r>
        <w:rPr>
          <w:rFonts w:hint="default" w:hAnsi="仿宋" w:cs="Times New Roman"/>
          <w:szCs w:val="30"/>
          <w:lang w:val="en-US" w:eastAsia="zh-CN"/>
        </w:rPr>
        <w:t>玉溪市质量技术监督综合检测中心</w:t>
      </w:r>
      <w:r>
        <w:rPr>
          <w:rFonts w:hint="eastAsia" w:hAnsi="仿宋" w:cs="Times New Roman"/>
          <w:szCs w:val="30"/>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（四）预算资金收入及安排情况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楷体" w:hAnsi="楷体" w:eastAsia="楷体" w:cs="楷体"/>
          <w:lang w:val="en-US" w:eastAsia="zh-CN"/>
        </w:rPr>
      </w:pPr>
      <w:r>
        <w:rPr>
          <w:rFonts w:hint="eastAsia" w:ascii="仿宋" w:hAnsi="仿宋" w:eastAsia="仿宋" w:cs="仿宋"/>
          <w:i w:val="0"/>
          <w:strike w:val="0"/>
          <w:color w:val="000000"/>
          <w:sz w:val="30"/>
          <w:u w:val="none"/>
          <w:lang w:val="en-US" w:eastAsia="zh-CN"/>
        </w:rPr>
        <w:t>202</w:t>
      </w:r>
      <w:r>
        <w:rPr>
          <w:rFonts w:hint="eastAsia" w:hAnsi="仿宋" w:cs="仿宋"/>
          <w:i w:val="0"/>
          <w:strike w:val="0"/>
          <w:color w:val="000000"/>
          <w:sz w:val="30"/>
          <w:u w:val="none"/>
          <w:lang w:val="en-US" w:eastAsia="zh-CN"/>
        </w:rPr>
        <w:t>2</w:t>
      </w:r>
      <w:r>
        <w:rPr>
          <w:rFonts w:hint="eastAsia" w:ascii="仿宋" w:hAnsi="仿宋" w:eastAsia="仿宋" w:cs="仿宋"/>
          <w:i w:val="0"/>
          <w:strike w:val="0"/>
          <w:color w:val="000000"/>
          <w:sz w:val="30"/>
          <w:u w:val="none"/>
          <w:lang w:val="en-US" w:eastAsia="zh-CN"/>
        </w:rPr>
        <w:t>年</w:t>
      </w:r>
      <w:r>
        <w:rPr>
          <w:rFonts w:hint="eastAsia" w:hAnsi="仿宋" w:cs="仿宋"/>
          <w:i w:val="0"/>
          <w:strike w:val="0"/>
          <w:color w:val="000000"/>
          <w:sz w:val="30"/>
          <w:u w:val="none"/>
          <w:lang w:val="en-US" w:eastAsia="zh-CN"/>
        </w:rPr>
        <w:t>市市场监督管理局</w:t>
      </w:r>
      <w:r>
        <w:rPr>
          <w:rFonts w:hint="eastAsia" w:ascii="仿宋" w:hAnsi="仿宋" w:eastAsia="仿宋" w:cs="仿宋"/>
          <w:i w:val="0"/>
          <w:strike w:val="0"/>
          <w:color w:val="000000"/>
          <w:sz w:val="30"/>
          <w:u w:val="none"/>
          <w:lang w:val="en-US" w:eastAsia="zh-CN"/>
        </w:rPr>
        <w:t>总计安排预算资金</w:t>
      </w:r>
      <w:r>
        <w:rPr>
          <w:rFonts w:hint="eastAsia" w:hAnsi="仿宋" w:cs="仿宋"/>
          <w:i w:val="0"/>
          <w:strike w:val="0"/>
          <w:color w:val="000000"/>
          <w:sz w:val="30"/>
          <w:u w:val="none"/>
          <w:lang w:val="en-US" w:eastAsia="zh-CN"/>
        </w:rPr>
        <w:t>9,144.31</w:t>
      </w:r>
      <w:r>
        <w:rPr>
          <w:rFonts w:hint="eastAsia" w:ascii="仿宋" w:hAnsi="仿宋" w:eastAsia="仿宋" w:cs="仿宋"/>
          <w:i w:val="0"/>
          <w:strike w:val="0"/>
          <w:color w:val="000000"/>
          <w:sz w:val="30"/>
          <w:u w:val="none"/>
          <w:lang w:val="en-US" w:eastAsia="zh-CN"/>
        </w:rPr>
        <w:t>万元，年初预算安排</w:t>
      </w:r>
      <w:r>
        <w:rPr>
          <w:rFonts w:hint="eastAsia" w:ascii="仿宋" w:hAnsi="仿宋" w:eastAsia="仿宋" w:cs="仿宋"/>
          <w:i w:val="0"/>
          <w:strike w:val="0"/>
          <w:color w:val="000000"/>
          <w:sz w:val="30"/>
          <w:u w:val="none"/>
        </w:rPr>
        <w:t>8</w:t>
      </w:r>
      <w:r>
        <w:rPr>
          <w:rFonts w:hint="eastAsia" w:hAnsi="仿宋" w:cs="仿宋"/>
          <w:i w:val="0"/>
          <w:strike w:val="0"/>
          <w:color w:val="000000"/>
          <w:sz w:val="30"/>
          <w:u w:val="none"/>
          <w:lang w:val="en-US" w:eastAsia="zh-CN"/>
        </w:rPr>
        <w:t>,</w:t>
      </w:r>
      <w:r>
        <w:rPr>
          <w:rFonts w:hint="eastAsia" w:ascii="仿宋" w:hAnsi="仿宋" w:eastAsia="仿宋" w:cs="仿宋"/>
          <w:i w:val="0"/>
          <w:strike w:val="0"/>
          <w:color w:val="000000"/>
          <w:sz w:val="30"/>
          <w:u w:val="none"/>
        </w:rPr>
        <w:t>413.50</w:t>
      </w:r>
      <w:r>
        <w:rPr>
          <w:rFonts w:hint="eastAsia" w:ascii="仿宋" w:hAnsi="仿宋" w:eastAsia="仿宋" w:cs="仿宋"/>
          <w:i w:val="0"/>
          <w:strike w:val="0"/>
          <w:color w:val="000000"/>
          <w:sz w:val="30"/>
          <w:u w:val="none"/>
          <w:lang w:val="en-US" w:eastAsia="zh-CN"/>
        </w:rPr>
        <w:t>万元，年中追加项目支出</w:t>
      </w:r>
      <w:r>
        <w:rPr>
          <w:rFonts w:hint="eastAsia" w:hAnsi="仿宋" w:cs="仿宋"/>
          <w:i w:val="0"/>
          <w:strike w:val="0"/>
          <w:color w:val="000000"/>
          <w:sz w:val="30"/>
          <w:u w:val="none"/>
          <w:lang w:val="en-US" w:eastAsia="zh-CN"/>
        </w:rPr>
        <w:t>730.81</w:t>
      </w:r>
      <w:r>
        <w:rPr>
          <w:rFonts w:hint="eastAsia" w:ascii="仿宋" w:hAnsi="仿宋" w:eastAsia="仿宋" w:cs="仿宋"/>
          <w:i w:val="0"/>
          <w:strike w:val="0"/>
          <w:color w:val="000000"/>
          <w:sz w:val="30"/>
          <w:u w:val="none"/>
          <w:lang w:val="en-US" w:eastAsia="zh-CN"/>
        </w:rPr>
        <w:t>万元。其中：</w:t>
      </w:r>
      <w:r>
        <w:rPr>
          <w:rFonts w:hint="eastAsia" w:hAnsi="仿宋" w:cs="仿宋"/>
          <w:i w:val="0"/>
          <w:strike w:val="0"/>
          <w:color w:val="000000"/>
          <w:sz w:val="30"/>
          <w:u w:val="none"/>
          <w:lang w:val="en-US" w:eastAsia="zh-CN"/>
        </w:rPr>
        <w:t>市</w:t>
      </w:r>
      <w:r>
        <w:rPr>
          <w:rFonts w:hint="eastAsia" w:ascii="仿宋" w:hAnsi="仿宋" w:eastAsia="仿宋" w:cs="仿宋"/>
          <w:i w:val="0"/>
          <w:strike w:val="0"/>
          <w:color w:val="000000"/>
          <w:sz w:val="30"/>
          <w:u w:val="none"/>
          <w:lang w:val="en-US" w:eastAsia="zh-CN"/>
        </w:rPr>
        <w:t>本级财政预算资金安排</w:t>
      </w:r>
      <w:r>
        <w:rPr>
          <w:rFonts w:hint="eastAsia" w:hAnsi="仿宋" w:cs="仿宋"/>
          <w:i w:val="0"/>
          <w:strike w:val="0"/>
          <w:color w:val="000000"/>
          <w:sz w:val="30"/>
          <w:u w:val="none"/>
          <w:lang w:val="en-US" w:eastAsia="zh-CN"/>
        </w:rPr>
        <w:t>8,728.56</w:t>
      </w:r>
      <w:r>
        <w:rPr>
          <w:rFonts w:hint="eastAsia" w:ascii="仿宋" w:hAnsi="仿宋" w:eastAsia="仿宋" w:cs="仿宋"/>
          <w:i w:val="0"/>
          <w:strike w:val="0"/>
          <w:color w:val="000000"/>
          <w:sz w:val="30"/>
          <w:u w:val="none"/>
          <w:lang w:val="en-US" w:eastAsia="zh-CN"/>
        </w:rPr>
        <w:t>万元；上级转移支付项目资金安排</w:t>
      </w:r>
      <w:r>
        <w:rPr>
          <w:rFonts w:hint="eastAsia" w:hAnsi="仿宋" w:cs="仿宋"/>
          <w:i w:val="0"/>
          <w:strike w:val="0"/>
          <w:color w:val="000000"/>
          <w:sz w:val="30"/>
          <w:u w:val="none"/>
          <w:lang w:val="en-US" w:eastAsia="zh-CN"/>
        </w:rPr>
        <w:t>415.75</w:t>
      </w:r>
      <w:r>
        <w:rPr>
          <w:rFonts w:hint="eastAsia" w:ascii="仿宋" w:hAnsi="仿宋" w:eastAsia="仿宋" w:cs="仿宋"/>
          <w:i w:val="0"/>
          <w:strike w:val="0"/>
          <w:color w:val="000000"/>
          <w:sz w:val="30"/>
          <w:u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ascii="楷体" w:hAnsi="楷体" w:eastAsia="楷体" w:cs="楷体"/>
          <w:lang w:val="en-US" w:eastAsia="zh-CN"/>
        </w:rPr>
      </w:pPr>
      <w:r>
        <w:rPr>
          <w:rFonts w:hint="eastAsia" w:ascii="楷体" w:hAnsi="楷体" w:eastAsia="楷体" w:cs="楷体"/>
          <w:lang w:val="en-US" w:eastAsia="zh-CN"/>
        </w:rPr>
        <w:t>（五）决算情况</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rPr>
      </w:pPr>
      <w:r>
        <w:rPr>
          <w:rFonts w:hint="eastAsia"/>
          <w:color w:val="auto"/>
          <w:highlight w:val="none"/>
        </w:rPr>
        <w:t>根据</w:t>
      </w:r>
      <w:r>
        <w:rPr>
          <w:rFonts w:hint="eastAsia"/>
          <w:color w:val="auto"/>
          <w:highlight w:val="none"/>
          <w:lang w:val="en-US" w:eastAsia="zh-CN"/>
        </w:rPr>
        <w:t>市市场监督管理局</w:t>
      </w:r>
      <w:r>
        <w:rPr>
          <w:color w:val="auto"/>
          <w:highlight w:val="none"/>
        </w:rPr>
        <w:t>202</w:t>
      </w:r>
      <w:r>
        <w:rPr>
          <w:rFonts w:hint="eastAsia"/>
          <w:color w:val="auto"/>
          <w:highlight w:val="none"/>
          <w:lang w:val="en-US" w:eastAsia="zh-CN"/>
        </w:rPr>
        <w:t>2</w:t>
      </w:r>
      <w:r>
        <w:rPr>
          <w:rFonts w:hint="eastAsia"/>
          <w:color w:val="auto"/>
          <w:highlight w:val="none"/>
        </w:rPr>
        <w:t>年决</w:t>
      </w:r>
      <w:r>
        <w:rPr>
          <w:rFonts w:hint="eastAsia"/>
        </w:rPr>
        <w:t>算报表，</w:t>
      </w:r>
      <w:r>
        <w:rPr>
          <w:rFonts w:hint="eastAsia"/>
          <w:lang w:val="en-US" w:eastAsia="zh-CN"/>
        </w:rPr>
        <w:t>市市场监督管理局</w:t>
      </w:r>
      <w:r>
        <w:rPr>
          <w:rFonts w:hint="eastAsia"/>
        </w:rPr>
        <w:t>202</w:t>
      </w:r>
      <w:r>
        <w:rPr>
          <w:rFonts w:hint="eastAsia"/>
          <w:lang w:val="en-US" w:eastAsia="zh-CN"/>
        </w:rPr>
        <w:t>2</w:t>
      </w:r>
      <w:r>
        <w:rPr>
          <w:rFonts w:hint="eastAsia"/>
        </w:rPr>
        <w:t>年度支出</w:t>
      </w:r>
      <w:r>
        <w:rPr>
          <w:rFonts w:hint="eastAsia"/>
          <w:highlight w:val="none"/>
          <w:lang w:val="en-US" w:eastAsia="zh-CN"/>
        </w:rPr>
        <w:t>合计</w:t>
      </w:r>
      <w:r>
        <w:rPr>
          <w:rFonts w:hint="eastAsia"/>
          <w:highlight w:val="none"/>
        </w:rPr>
        <w:t>8246</w:t>
      </w:r>
      <w:r>
        <w:rPr>
          <w:rFonts w:hint="eastAsia"/>
          <w:highlight w:val="none"/>
          <w:lang w:val="en-US" w:eastAsia="zh-CN"/>
        </w:rPr>
        <w:t>,</w:t>
      </w:r>
      <w:r>
        <w:rPr>
          <w:rFonts w:hint="eastAsia"/>
          <w:highlight w:val="none"/>
        </w:rPr>
        <w:t>1</w:t>
      </w:r>
      <w:r>
        <w:rPr>
          <w:rFonts w:hint="eastAsia"/>
          <w:highlight w:val="none"/>
          <w:lang w:val="en-US" w:eastAsia="zh-CN"/>
        </w:rPr>
        <w:t>4</w:t>
      </w:r>
      <w:r>
        <w:rPr>
          <w:rFonts w:hint="default"/>
          <w:highlight w:val="none"/>
          <w:lang w:val="en-US" w:eastAsia="zh-CN"/>
        </w:rPr>
        <w:t>万元</w:t>
      </w:r>
      <w:r>
        <w:rPr>
          <w:rFonts w:hint="eastAsia"/>
          <w:lang w:val="en-US" w:eastAsia="zh-CN"/>
        </w:rPr>
        <w:t>。其中：基本支出6,780.01万元，占总支出的82.35%；项目支出887.07万元，占总支出</w:t>
      </w:r>
      <w:r>
        <w:rPr>
          <w:rFonts w:hint="eastAsia"/>
        </w:rPr>
        <w:t>的</w:t>
      </w:r>
      <w:r>
        <w:rPr>
          <w:rFonts w:hint="eastAsia"/>
          <w:lang w:val="en-US" w:eastAsia="zh-CN"/>
        </w:rPr>
        <w:t>10.78</w:t>
      </w:r>
      <w:r>
        <w:rPr>
          <w:rFonts w:hint="eastAsia"/>
        </w:rPr>
        <w:t>%</w:t>
      </w:r>
      <w:r>
        <w:rPr>
          <w:rFonts w:hint="eastAsia"/>
          <w:lang w:val="en-US" w:eastAsia="zh-CN"/>
        </w:rPr>
        <w:t>,经营支出566.16万元，占总支出的6.87%</w:t>
      </w:r>
      <w:r>
        <w:rPr>
          <w:rFonts w:hint="eastAsia"/>
        </w:rPr>
        <w:t>。</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黑体" w:hAnsi="黑体" w:eastAsia="黑体"/>
          <w:spacing w:val="6"/>
          <w:szCs w:val="30"/>
        </w:rPr>
      </w:pPr>
      <w:r>
        <w:rPr>
          <w:rFonts w:hint="default"/>
          <w:highlight w:val="none"/>
          <w:lang w:val="en-US" w:eastAsia="zh-CN"/>
        </w:rPr>
        <w:t>2022年市市场监督管理局</w:t>
      </w:r>
      <w:r>
        <w:rPr>
          <w:rFonts w:hint="eastAsia"/>
          <w:highlight w:val="none"/>
          <w:lang w:val="en-US" w:eastAsia="zh-CN"/>
        </w:rPr>
        <w:t>全年</w:t>
      </w:r>
      <w:r>
        <w:rPr>
          <w:rFonts w:hint="default"/>
          <w:highlight w:val="none"/>
          <w:lang w:val="en-US" w:eastAsia="zh-CN"/>
        </w:rPr>
        <w:t>预算数8233</w:t>
      </w:r>
      <w:r>
        <w:rPr>
          <w:rFonts w:hint="eastAsia"/>
          <w:highlight w:val="none"/>
          <w:lang w:val="en-US" w:eastAsia="zh-CN"/>
        </w:rPr>
        <w:t>.</w:t>
      </w:r>
      <w:r>
        <w:rPr>
          <w:rFonts w:hint="default"/>
          <w:highlight w:val="none"/>
          <w:lang w:val="en-US" w:eastAsia="zh-CN"/>
        </w:rPr>
        <w:t>2</w:t>
      </w:r>
      <w:r>
        <w:rPr>
          <w:rFonts w:hint="eastAsia"/>
          <w:highlight w:val="none"/>
          <w:lang w:val="en-US" w:eastAsia="zh-CN"/>
        </w:rPr>
        <w:t>4万</w:t>
      </w:r>
      <w:r>
        <w:rPr>
          <w:rFonts w:hint="default"/>
          <w:highlight w:val="none"/>
          <w:lang w:val="en-US" w:eastAsia="zh-CN"/>
        </w:rPr>
        <w:t>元，预算执行数为</w:t>
      </w:r>
      <w:r>
        <w:rPr>
          <w:rFonts w:hint="eastAsia"/>
        </w:rPr>
        <w:t>8246</w:t>
      </w:r>
      <w:r>
        <w:rPr>
          <w:rFonts w:hint="eastAsia"/>
          <w:lang w:val="en-US" w:eastAsia="zh-CN"/>
        </w:rPr>
        <w:t>,</w:t>
      </w:r>
      <w:r>
        <w:rPr>
          <w:rFonts w:hint="eastAsia"/>
        </w:rPr>
        <w:t>1</w:t>
      </w:r>
      <w:r>
        <w:rPr>
          <w:rFonts w:hint="eastAsia"/>
          <w:lang w:val="en-US" w:eastAsia="zh-CN"/>
        </w:rPr>
        <w:t>4</w:t>
      </w:r>
      <w:r>
        <w:rPr>
          <w:rFonts w:hint="eastAsia"/>
          <w:highlight w:val="none"/>
          <w:lang w:val="en-US" w:eastAsia="zh-CN"/>
        </w:rPr>
        <w:t>万</w:t>
      </w:r>
      <w:r>
        <w:rPr>
          <w:rFonts w:hint="default"/>
          <w:highlight w:val="none"/>
          <w:lang w:val="en-US" w:eastAsia="zh-CN"/>
        </w:rPr>
        <w:t>元，预算执行率为</w:t>
      </w:r>
      <w:r>
        <w:rPr>
          <w:rFonts w:hint="eastAsia"/>
          <w:highlight w:val="none"/>
          <w:lang w:val="en-US" w:eastAsia="zh-CN"/>
        </w:rPr>
        <w:t>100</w:t>
      </w:r>
      <w:r>
        <w:rPr>
          <w:rFonts w:hint="default"/>
          <w:highlight w:val="none"/>
          <w:lang w:val="en-US" w:eastAsia="zh-CN"/>
        </w:rPr>
        <w:t>%</w:t>
      </w:r>
      <w:r>
        <w:rPr>
          <w:rStyle w:val="27"/>
          <w:rFonts w:hint="default"/>
          <w:highlight w:val="none"/>
          <w:lang w:val="en-US" w:eastAsia="zh-CN"/>
        </w:rPr>
        <w:footnoteReference w:id="0"/>
      </w:r>
      <w:r>
        <w:rPr>
          <w:rFonts w:hint="default"/>
          <w:highlight w:val="none"/>
          <w:lang w:val="en-US" w:eastAsia="zh-CN"/>
        </w:rPr>
        <w:t>。</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29"/>
        <w:textAlignment w:val="auto"/>
        <w:rPr>
          <w:rFonts w:ascii="黑体" w:hAnsi="黑体" w:eastAsia="黑体"/>
          <w:spacing w:val="6"/>
          <w:szCs w:val="30"/>
        </w:rPr>
      </w:pPr>
      <w:r>
        <w:rPr>
          <w:rFonts w:hint="eastAsia" w:ascii="黑体" w:hAnsi="黑体" w:eastAsia="黑体"/>
          <w:spacing w:val="6"/>
          <w:szCs w:val="30"/>
        </w:rPr>
        <w:t>二、绩效</w:t>
      </w:r>
      <w:r>
        <w:rPr>
          <w:rFonts w:hint="eastAsia" w:ascii="黑体" w:hAnsi="黑体" w:eastAsia="黑体"/>
          <w:spacing w:val="6"/>
          <w:szCs w:val="30"/>
          <w:lang w:eastAsia="zh-CN"/>
        </w:rPr>
        <w:t>评价</w:t>
      </w:r>
      <w:r>
        <w:rPr>
          <w:rFonts w:hint="eastAsia" w:ascii="黑体" w:hAnsi="黑体" w:eastAsia="黑体"/>
          <w:spacing w:val="6"/>
          <w:szCs w:val="30"/>
        </w:rPr>
        <w:t>结论</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54" w:firstLineChars="200"/>
        <w:jc w:val="both"/>
        <w:textAlignment w:val="auto"/>
        <w:rPr>
          <w:rFonts w:hint="eastAsia" w:hAnsi="仿宋"/>
          <w:spacing w:val="6"/>
          <w:szCs w:val="30"/>
          <w:highlight w:val="yellow"/>
        </w:rPr>
      </w:pPr>
      <w:r>
        <w:rPr>
          <w:rFonts w:hint="eastAsia" w:hAnsi="仿宋"/>
          <w:spacing w:val="6"/>
          <w:szCs w:val="30"/>
          <w:lang w:val="en-US" w:eastAsia="zh-CN"/>
        </w:rPr>
        <w:t>玉溪市市场监督管理局2022年</w:t>
      </w:r>
      <w:r>
        <w:rPr>
          <w:rFonts w:hint="eastAsia" w:hAnsi="仿宋"/>
          <w:spacing w:val="6"/>
          <w:szCs w:val="30"/>
          <w:lang w:eastAsia="zh-CN"/>
        </w:rPr>
        <w:t>部门整体</w:t>
      </w:r>
      <w:r>
        <w:rPr>
          <w:rFonts w:hint="eastAsia" w:hAnsi="仿宋"/>
          <w:spacing w:val="6"/>
          <w:szCs w:val="30"/>
        </w:rPr>
        <w:t>绩效评价得分</w:t>
      </w:r>
      <w:r>
        <w:rPr>
          <w:rFonts w:hint="eastAsia" w:hAnsi="仿宋"/>
          <w:spacing w:val="6"/>
          <w:szCs w:val="30"/>
          <w:highlight w:val="none"/>
          <w:lang w:val="en-US" w:eastAsia="zh-CN"/>
        </w:rPr>
        <w:t>84.89</w:t>
      </w:r>
      <w:r>
        <w:rPr>
          <w:rFonts w:hint="eastAsia" w:hAnsi="仿宋"/>
          <w:spacing w:val="6"/>
          <w:szCs w:val="30"/>
          <w:highlight w:val="none"/>
        </w:rPr>
        <w:t>分，评价等级为“</w:t>
      </w:r>
      <w:r>
        <w:rPr>
          <w:rFonts w:hint="eastAsia" w:hAnsi="仿宋"/>
          <w:spacing w:val="6"/>
          <w:szCs w:val="30"/>
          <w:highlight w:val="none"/>
          <w:lang w:val="en-US" w:eastAsia="zh-CN"/>
        </w:rPr>
        <w:t>良</w:t>
      </w:r>
      <w:r>
        <w:rPr>
          <w:rFonts w:hint="eastAsia" w:hAnsi="仿宋"/>
          <w:spacing w:val="6"/>
          <w:szCs w:val="30"/>
          <w:highlight w:val="none"/>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629" w:leftChars="0" w:right="0" w:rightChars="0"/>
        <w:textAlignment w:val="auto"/>
        <w:rPr>
          <w:rFonts w:hint="eastAsia" w:ascii="黑体" w:hAnsi="黑体" w:eastAsia="黑体"/>
          <w:spacing w:val="6"/>
          <w:szCs w:val="30"/>
          <w:lang w:val="en-US" w:eastAsia="zh-CN"/>
        </w:rPr>
      </w:pPr>
      <w:r>
        <w:rPr>
          <w:rFonts w:hint="eastAsia" w:ascii="黑体" w:hAnsi="黑体" w:eastAsia="黑体"/>
          <w:spacing w:val="6"/>
          <w:szCs w:val="30"/>
          <w:lang w:val="en-US" w:eastAsia="zh-CN"/>
        </w:rPr>
        <w:t>三、取得成效</w:t>
      </w:r>
    </w:p>
    <w:p>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629"/>
        <w:textAlignment w:val="auto"/>
        <w:rPr>
          <w:rFonts w:hint="eastAsia" w:ascii="黑体" w:hAnsi="黑体" w:eastAsia="黑体"/>
          <w:spacing w:val="6"/>
          <w:szCs w:val="30"/>
          <w:lang w:val="en-US" w:eastAsia="zh-CN"/>
        </w:rPr>
      </w:pPr>
      <w:r>
        <w:rPr>
          <w:rFonts w:hint="eastAsia" w:hAnsi="仿宋"/>
          <w:spacing w:val="6"/>
          <w:szCs w:val="30"/>
          <w:lang w:val="en-US" w:eastAsia="zh-CN"/>
        </w:rPr>
        <w:t>市市场监督管理局</w:t>
      </w:r>
      <w:r>
        <w:rPr>
          <w:rFonts w:hint="eastAsia" w:hAnsi="仿宋" w:cs="Times New Roman"/>
          <w:szCs w:val="30"/>
          <w:lang w:val="en-US" w:eastAsia="zh-CN"/>
        </w:rPr>
        <w:t>完成全面推进“证照分离”改革任务，实现当场办结、一次办结、限时办结；持续完善企业开办“一窗通”平台，建立健全企业开办部门协同机制，推进企业开办标准化规范化便利化，实现企业设立登记、公章刻制、发票申领、社保登记、住房公积金企业缴存登记、银行开户等事项“一网通办”。</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ind w:left="629" w:leftChars="0" w:right="0" w:rightChars="0"/>
        <w:textAlignment w:val="auto"/>
        <w:rPr>
          <w:rFonts w:hint="eastAsia" w:ascii="黑体" w:hAnsi="黑体" w:eastAsia="黑体"/>
          <w:spacing w:val="6"/>
          <w:szCs w:val="30"/>
        </w:rPr>
      </w:pPr>
      <w:r>
        <w:rPr>
          <w:rFonts w:hint="eastAsia" w:ascii="黑体" w:hAnsi="黑体" w:eastAsia="黑体"/>
          <w:spacing w:val="6"/>
          <w:szCs w:val="30"/>
          <w:lang w:val="en-US" w:eastAsia="zh-CN"/>
        </w:rPr>
        <w:t>四、</w:t>
      </w:r>
      <w:r>
        <w:rPr>
          <w:rFonts w:hint="eastAsia" w:ascii="黑体" w:hAnsi="黑体" w:eastAsia="黑体"/>
          <w:spacing w:val="6"/>
          <w:szCs w:val="30"/>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9"/>
        <w:rPr>
          <w:rFonts w:hint="eastAsia" w:ascii="楷体" w:hAnsi="楷体" w:eastAsia="楷体" w:cs="Times New Roman"/>
          <w:spacing w:val="6"/>
          <w:szCs w:val="30"/>
          <w:highlight w:val="none"/>
          <w:lang w:val="en-US" w:eastAsia="zh-CN"/>
        </w:rPr>
      </w:pPr>
      <w:r>
        <w:rPr>
          <w:rFonts w:hint="eastAsia" w:ascii="楷体" w:hAnsi="楷体" w:eastAsia="楷体" w:cs="Times New Roman"/>
          <w:spacing w:val="6"/>
          <w:szCs w:val="30"/>
          <w:lang w:val="en-US" w:eastAsia="zh-CN"/>
        </w:rPr>
        <w:t>（一）重点工作任务</w:t>
      </w:r>
      <w:r>
        <w:rPr>
          <w:rFonts w:hint="eastAsia" w:ascii="楷体" w:hAnsi="楷体" w:eastAsia="楷体" w:cs="Times New Roman"/>
          <w:spacing w:val="6"/>
          <w:szCs w:val="30"/>
          <w:highlight w:val="none"/>
          <w:lang w:val="en-US" w:eastAsia="zh-CN"/>
        </w:rPr>
        <w:t>未全面完成，监督力度不够</w:t>
      </w:r>
    </w:p>
    <w:p>
      <w:pPr>
        <w:pStyle w:val="2"/>
        <w:rPr>
          <w:rFonts w:hint="eastAsia" w:hAnsi="仿宋" w:cs="仿宋"/>
          <w:spacing w:val="6"/>
          <w:kern w:val="30"/>
          <w:sz w:val="30"/>
          <w:szCs w:val="30"/>
          <w:lang w:val="en-US" w:eastAsia="zh-CN" w:bidi="ar-SA"/>
        </w:rPr>
      </w:pPr>
      <w:r>
        <w:rPr>
          <w:rFonts w:hint="eastAsia" w:hAnsi="仿宋" w:cs="仿宋"/>
          <w:spacing w:val="6"/>
          <w:kern w:val="30"/>
          <w:sz w:val="30"/>
          <w:szCs w:val="30"/>
          <w:lang w:val="en-US" w:eastAsia="zh-CN" w:bidi="ar-SA"/>
        </w:rPr>
        <w:t>一是</w:t>
      </w:r>
      <w:r>
        <w:rPr>
          <w:rFonts w:hint="eastAsia" w:ascii="仿宋" w:hAnsi="仿宋" w:eastAsia="仿宋" w:cs="仿宋"/>
          <w:spacing w:val="6"/>
          <w:kern w:val="30"/>
          <w:sz w:val="30"/>
          <w:szCs w:val="30"/>
          <w:lang w:val="en-US" w:eastAsia="zh-CN" w:bidi="ar-SA"/>
        </w:rPr>
        <w:t>医疗器械抽检</w:t>
      </w:r>
      <w:r>
        <w:rPr>
          <w:rFonts w:hint="eastAsia" w:hAnsi="仿宋" w:cs="仿宋"/>
          <w:spacing w:val="6"/>
          <w:kern w:val="30"/>
          <w:sz w:val="30"/>
          <w:szCs w:val="30"/>
          <w:lang w:val="en-US" w:eastAsia="zh-CN" w:bidi="ar-SA"/>
        </w:rPr>
        <w:t>和监督任务未全面完成。</w:t>
      </w:r>
      <w:r>
        <w:rPr>
          <w:rFonts w:hint="eastAsia" w:ascii="仿宋" w:hAnsi="仿宋" w:eastAsia="仿宋" w:cs="仿宋"/>
          <w:spacing w:val="6"/>
          <w:kern w:val="30"/>
          <w:sz w:val="30"/>
          <w:szCs w:val="30"/>
          <w:lang w:val="en-US" w:eastAsia="zh-CN" w:bidi="ar-SA"/>
        </w:rPr>
        <w:t>2022年市市场监督管理局计划完成医疗器械抽检30批次，实际完成9批次，完成率仅为30%；针对医疗器械研制、生产、经营、使用等环节开展的不预先告知的监督检查，即飞行检查，计划完成任务33次，实际完成8次，完成率</w:t>
      </w:r>
      <w:r>
        <w:rPr>
          <w:rFonts w:hint="eastAsia" w:hAnsi="仿宋" w:cs="仿宋"/>
          <w:spacing w:val="6"/>
          <w:kern w:val="30"/>
          <w:sz w:val="30"/>
          <w:szCs w:val="30"/>
          <w:lang w:val="en-US" w:eastAsia="zh-CN" w:bidi="ar-SA"/>
        </w:rPr>
        <w:t>仅为</w:t>
      </w:r>
      <w:r>
        <w:rPr>
          <w:rFonts w:hint="eastAsia" w:ascii="仿宋" w:hAnsi="仿宋" w:eastAsia="仿宋" w:cs="仿宋"/>
          <w:spacing w:val="6"/>
          <w:kern w:val="30"/>
          <w:sz w:val="30"/>
          <w:szCs w:val="30"/>
          <w:lang w:val="en-US" w:eastAsia="zh-CN" w:bidi="ar-SA"/>
        </w:rPr>
        <w:t>24.24%</w:t>
      </w:r>
      <w:r>
        <w:rPr>
          <w:rFonts w:hint="eastAsia" w:hAnsi="仿宋" w:cs="仿宋"/>
          <w:spacing w:val="6"/>
          <w:kern w:val="30"/>
          <w:sz w:val="30"/>
          <w:szCs w:val="30"/>
          <w:lang w:val="en-US" w:eastAsia="zh-CN" w:bidi="ar-SA"/>
        </w:rPr>
        <w:t>。</w:t>
      </w:r>
    </w:p>
    <w:p>
      <w:pPr>
        <w:pStyle w:val="11"/>
        <w:ind w:firstLine="654" w:firstLineChars="200"/>
        <w:rPr>
          <w:rFonts w:hint="eastAsia" w:ascii="仿宋" w:hAnsi="仿宋" w:eastAsia="仿宋" w:cs="仿宋"/>
          <w:spacing w:val="6"/>
          <w:kern w:val="30"/>
          <w:sz w:val="30"/>
          <w:szCs w:val="30"/>
          <w:lang w:val="en-US" w:eastAsia="zh-CN" w:bidi="ar-SA"/>
        </w:rPr>
      </w:pPr>
      <w:r>
        <w:rPr>
          <w:rFonts w:hint="eastAsia" w:ascii="仿宋" w:hAnsi="仿宋" w:eastAsia="仿宋" w:cs="仿宋"/>
          <w:spacing w:val="6"/>
          <w:kern w:val="30"/>
          <w:sz w:val="30"/>
          <w:szCs w:val="30"/>
          <w:lang w:val="en-US" w:eastAsia="zh-CN" w:bidi="ar-SA"/>
        </w:rPr>
        <w:t>二是对承检机构成果的监督不足。实地监控发现，根据市市场监督管理局与承检机构签订的相关合同，市市场监督管理局负有对抽检结果复核和监管的责任，但市市场监督管理局对于进行食品和医疗器械抽检的承检机构，抽查、评定其检测过程、检测数据等过程痕迹资料缺失，对于承检机构出具的检测结果监督力度不足。</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9"/>
        <w:rPr>
          <w:rFonts w:hint="default" w:ascii="楷体" w:hAnsi="楷体" w:eastAsia="楷体" w:cs="Times New Roman"/>
          <w:spacing w:val="6"/>
          <w:szCs w:val="30"/>
          <w:lang w:val="en-US" w:eastAsia="zh-CN"/>
        </w:rPr>
      </w:pPr>
      <w:r>
        <w:rPr>
          <w:rFonts w:hint="eastAsia" w:ascii="楷体" w:hAnsi="楷体" w:eastAsia="楷体" w:cs="Times New Roman"/>
          <w:spacing w:val="6"/>
          <w:szCs w:val="30"/>
          <w:lang w:val="en-US" w:eastAsia="zh-CN"/>
        </w:rPr>
        <w:t>（二）资产管理不规范，信息更新不及时</w:t>
      </w:r>
    </w:p>
    <w:p>
      <w:pPr>
        <w:pStyle w:val="2"/>
        <w:rPr>
          <w:rFonts w:hint="eastAsia" w:ascii="仿宋" w:hAnsi="仿宋" w:eastAsia="仿宋" w:cs="仿宋"/>
          <w:spacing w:val="6"/>
          <w:kern w:val="30"/>
          <w:sz w:val="30"/>
          <w:szCs w:val="30"/>
          <w:lang w:val="en-US" w:eastAsia="zh-CN" w:bidi="ar-SA"/>
        </w:rPr>
      </w:pPr>
      <w:r>
        <w:rPr>
          <w:rFonts w:hint="eastAsia" w:hAnsi="仿宋" w:cs="仿宋"/>
          <w:spacing w:val="6"/>
          <w:kern w:val="30"/>
          <w:sz w:val="30"/>
          <w:szCs w:val="30"/>
          <w:lang w:val="en-US" w:eastAsia="zh-CN" w:bidi="ar-SA"/>
        </w:rPr>
        <w:t>实地评价发现，市市场监督管理局存在部分固定资产闲置，固定资产台账信息不完善，更新不及时的情况，具体为：自制木办公柜、办公桌长时间闲置未得到有效使用，涉及金额1.3万元；健身器材、移动电话（华为MATE9）长时间闲置未得到有效使用，且部分器材已无法使用但未报废，涉及金额5.13万元；涉及877项资产未完善资产规格信息；426项资产未明确存放地点，资产管理有待完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outlineLvl w:val="9"/>
        <w:rPr>
          <w:rFonts w:ascii="黑体" w:hAnsi="宋体" w:eastAsia="黑体" w:cs="宋体"/>
          <w:spacing w:val="6"/>
          <w:szCs w:val="30"/>
        </w:rPr>
      </w:pPr>
      <w:r>
        <w:rPr>
          <w:rFonts w:hint="eastAsia" w:ascii="黑体" w:hAnsi="宋体" w:eastAsia="黑体" w:cs="宋体"/>
          <w:spacing w:val="6"/>
          <w:szCs w:val="30"/>
          <w:lang w:val="en-US" w:eastAsia="zh-CN"/>
        </w:rPr>
        <w:t>五</w:t>
      </w:r>
      <w:r>
        <w:rPr>
          <w:rFonts w:hint="eastAsia" w:ascii="黑体" w:hAnsi="宋体" w:eastAsia="黑体" w:cs="宋体"/>
          <w:spacing w:val="6"/>
          <w:szCs w:val="30"/>
        </w:rPr>
        <w:t>、建议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outlineLvl w:val="9"/>
        <w:rPr>
          <w:rFonts w:hint="default" w:ascii="楷体" w:hAnsi="楷体" w:eastAsia="楷体" w:cs="Times New Roman"/>
          <w:b w:val="0"/>
          <w:bCs w:val="0"/>
          <w:color w:val="auto"/>
          <w:spacing w:val="6"/>
          <w:szCs w:val="30"/>
          <w:lang w:val="en-US" w:eastAsia="zh-CN"/>
        </w:rPr>
      </w:pPr>
      <w:r>
        <w:rPr>
          <w:rFonts w:hint="eastAsia" w:ascii="楷体" w:hAnsi="楷体" w:eastAsia="楷体" w:cs="Times New Roman"/>
          <w:b w:val="0"/>
          <w:bCs w:val="0"/>
          <w:color w:val="auto"/>
          <w:spacing w:val="6"/>
          <w:szCs w:val="30"/>
          <w:lang w:val="en-US" w:eastAsia="zh-CN"/>
        </w:rPr>
        <w:t>（一）强化监管职责，保障重点工作任务推进</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rPr>
          <w:rFonts w:hint="eastAsia" w:ascii="仿宋" w:hAnsi="仿宋" w:eastAsia="仿宋" w:cs="仿宋"/>
          <w:spacing w:val="6"/>
          <w:kern w:val="30"/>
          <w:sz w:val="30"/>
          <w:szCs w:val="30"/>
          <w:lang w:val="en-US" w:eastAsia="zh-CN" w:bidi="ar-SA"/>
        </w:rPr>
      </w:pPr>
      <w:r>
        <w:rPr>
          <w:rFonts w:hint="eastAsia" w:hAnsi="仿宋" w:cs="仿宋"/>
          <w:spacing w:val="6"/>
          <w:szCs w:val="30"/>
          <w:lang w:val="en-US" w:eastAsia="zh-CN"/>
        </w:rPr>
        <w:t>一是</w:t>
      </w:r>
      <w:r>
        <w:rPr>
          <w:rFonts w:hint="default" w:ascii="仿宋" w:hAnsi="仿宋" w:eastAsia="仿宋" w:cs="仿宋"/>
          <w:spacing w:val="6"/>
          <w:szCs w:val="30"/>
          <w:lang w:val="en-US" w:eastAsia="zh-CN"/>
        </w:rPr>
        <w:t>依照法律法规，</w:t>
      </w:r>
      <w:r>
        <w:rPr>
          <w:rFonts w:hint="eastAsia" w:hAnsi="仿宋" w:cs="仿宋"/>
          <w:spacing w:val="6"/>
          <w:szCs w:val="30"/>
          <w:lang w:val="en-US" w:eastAsia="zh-CN"/>
        </w:rPr>
        <w:t>市场监督管理</w:t>
      </w:r>
      <w:r>
        <w:rPr>
          <w:rFonts w:hint="default" w:ascii="仿宋" w:hAnsi="仿宋" w:eastAsia="仿宋" w:cs="仿宋"/>
          <w:spacing w:val="6"/>
          <w:szCs w:val="30"/>
          <w:lang w:val="en-US" w:eastAsia="zh-CN"/>
        </w:rPr>
        <w:t>部门是所在地方政府</w:t>
      </w:r>
      <w:r>
        <w:rPr>
          <w:rFonts w:hint="eastAsia" w:hAnsi="仿宋" w:cs="仿宋"/>
          <w:spacing w:val="6"/>
          <w:szCs w:val="30"/>
          <w:lang w:val="en-US" w:eastAsia="zh-CN"/>
        </w:rPr>
        <w:t>市场监督管</w:t>
      </w:r>
      <w:r>
        <w:rPr>
          <w:rFonts w:hint="eastAsia" w:hAnsi="仿宋" w:cs="仿宋"/>
          <w:spacing w:val="6"/>
          <w:szCs w:val="30"/>
          <w:highlight w:val="none"/>
          <w:lang w:val="en-US" w:eastAsia="zh-CN"/>
        </w:rPr>
        <w:t>理</w:t>
      </w:r>
      <w:r>
        <w:rPr>
          <w:rFonts w:hint="default" w:ascii="仿宋" w:hAnsi="仿宋" w:eastAsia="仿宋" w:cs="仿宋"/>
          <w:spacing w:val="6"/>
          <w:szCs w:val="30"/>
          <w:highlight w:val="none"/>
          <w:lang w:val="en-US" w:eastAsia="zh-CN"/>
        </w:rPr>
        <w:t>工作统一监督管理部门，</w:t>
      </w:r>
      <w:r>
        <w:rPr>
          <w:rFonts w:hint="eastAsia" w:hAnsi="仿宋" w:cs="仿宋"/>
          <w:spacing w:val="6"/>
          <w:szCs w:val="30"/>
          <w:highlight w:val="none"/>
          <w:lang w:val="en-US" w:eastAsia="zh-CN"/>
        </w:rPr>
        <w:t>应科学合理制定年度计划、工作方案，扎实推进重点工作任务，确保目标任务顺利完成。二是强化</w:t>
      </w:r>
      <w:r>
        <w:rPr>
          <w:rFonts w:hint="eastAsia" w:hAnsi="仿宋" w:cs="仿宋"/>
          <w:spacing w:val="6"/>
          <w:kern w:val="30"/>
          <w:sz w:val="30"/>
          <w:szCs w:val="30"/>
          <w:highlight w:val="none"/>
          <w:lang w:val="en-US" w:eastAsia="zh-CN" w:bidi="ar-SA"/>
        </w:rPr>
        <w:t>监督</w:t>
      </w:r>
      <w:r>
        <w:rPr>
          <w:rFonts w:hint="eastAsia" w:ascii="仿宋" w:hAnsi="仿宋" w:eastAsia="仿宋" w:cs="仿宋"/>
          <w:spacing w:val="6"/>
          <w:kern w:val="30"/>
          <w:sz w:val="30"/>
          <w:szCs w:val="30"/>
          <w:highlight w:val="none"/>
          <w:lang w:val="en-US" w:eastAsia="zh-CN" w:bidi="ar-SA"/>
        </w:rPr>
        <w:t>管理</w:t>
      </w:r>
      <w:r>
        <w:rPr>
          <w:rFonts w:hint="eastAsia" w:hAnsi="仿宋" w:cs="仿宋"/>
          <w:spacing w:val="6"/>
          <w:kern w:val="30"/>
          <w:sz w:val="30"/>
          <w:szCs w:val="30"/>
          <w:highlight w:val="none"/>
          <w:lang w:val="en-US" w:eastAsia="zh-CN" w:bidi="ar-SA"/>
        </w:rPr>
        <w:t>，</w:t>
      </w:r>
      <w:r>
        <w:rPr>
          <w:rFonts w:hint="eastAsia"/>
          <w:lang w:val="en-US" w:eastAsia="zh-CN"/>
        </w:rPr>
        <w:t>加强对承检机构的监督和部门日常监督，规范权力运行。</w:t>
      </w:r>
      <w:r>
        <w:rPr>
          <w:rFonts w:hint="eastAsia" w:ascii="仿宋" w:hAnsi="仿宋" w:eastAsia="仿宋" w:cs="仿宋"/>
          <w:spacing w:val="6"/>
          <w:kern w:val="30"/>
          <w:sz w:val="30"/>
          <w:szCs w:val="30"/>
          <w:lang w:val="en-US" w:eastAsia="zh-CN" w:bidi="ar-SA"/>
        </w:rPr>
        <w:t>加强对权力运行的制约和监督，督促</w:t>
      </w:r>
      <w:r>
        <w:rPr>
          <w:rFonts w:hint="eastAsia" w:hAnsi="仿宋" w:cs="仿宋"/>
          <w:spacing w:val="6"/>
          <w:kern w:val="30"/>
          <w:sz w:val="30"/>
          <w:szCs w:val="30"/>
          <w:lang w:val="en-US" w:eastAsia="zh-CN" w:bidi="ar-SA"/>
        </w:rPr>
        <w:t>各局机关、下属</w:t>
      </w:r>
      <w:r>
        <w:rPr>
          <w:rFonts w:hint="eastAsia" w:ascii="仿宋" w:hAnsi="仿宋" w:eastAsia="仿宋" w:cs="仿宋"/>
          <w:spacing w:val="6"/>
          <w:kern w:val="30"/>
          <w:sz w:val="30"/>
          <w:szCs w:val="30"/>
          <w:lang w:val="en-US" w:eastAsia="zh-CN" w:bidi="ar-SA"/>
        </w:rPr>
        <w:t>单位进一步细化完善权力运行的风险防控机制。加强重点工作、关键环节的监督，</w:t>
      </w:r>
      <w:r>
        <w:rPr>
          <w:rFonts w:hint="eastAsia" w:hAnsi="仿宋" w:cs="仿宋"/>
          <w:spacing w:val="6"/>
          <w:kern w:val="30"/>
          <w:sz w:val="30"/>
          <w:szCs w:val="30"/>
          <w:lang w:val="en-US" w:eastAsia="zh-CN" w:bidi="ar-SA"/>
        </w:rPr>
        <w:t>关注群众切实关心的食品安全问题，</w:t>
      </w:r>
      <w:r>
        <w:rPr>
          <w:rFonts w:hint="eastAsia" w:ascii="仿宋" w:hAnsi="仿宋" w:eastAsia="仿宋" w:cs="仿宋"/>
          <w:spacing w:val="6"/>
          <w:kern w:val="30"/>
          <w:sz w:val="30"/>
          <w:szCs w:val="30"/>
          <w:lang w:val="en-US" w:eastAsia="zh-CN" w:bidi="ar-SA"/>
        </w:rPr>
        <w:t>加大食品监督管理，强化市场监管</w:t>
      </w:r>
      <w:r>
        <w:rPr>
          <w:rFonts w:hint="default" w:ascii="仿宋" w:hAnsi="仿宋" w:eastAsia="仿宋" w:cs="仿宋"/>
          <w:spacing w:val="6"/>
          <w:kern w:val="30"/>
          <w:sz w:val="30"/>
          <w:szCs w:val="30"/>
          <w:lang w:val="en-US" w:eastAsia="zh-CN" w:bidi="ar-SA"/>
        </w:rPr>
        <w:t>责任</w:t>
      </w:r>
      <w:r>
        <w:rPr>
          <w:rFonts w:hint="eastAsia" w:ascii="仿宋" w:hAnsi="仿宋" w:eastAsia="仿宋" w:cs="仿宋"/>
          <w:spacing w:val="6"/>
          <w:kern w:val="30"/>
          <w:sz w:val="30"/>
          <w:szCs w:val="30"/>
          <w:lang w:val="en-US" w:eastAsia="zh-CN" w:bidi="ar-SA"/>
        </w:rPr>
        <w:t>，促进社会生产事业发展。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outlineLvl w:val="9"/>
        <w:rPr>
          <w:rFonts w:hint="default" w:ascii="楷体" w:hAnsi="楷体" w:eastAsia="楷体" w:cs="Times New Roman"/>
          <w:b w:val="0"/>
          <w:bCs w:val="0"/>
          <w:color w:val="auto"/>
          <w:spacing w:val="6"/>
          <w:szCs w:val="30"/>
          <w:lang w:val="en-US" w:eastAsia="zh-CN"/>
        </w:rPr>
      </w:pPr>
      <w:r>
        <w:rPr>
          <w:rFonts w:hint="eastAsia" w:ascii="楷体" w:hAnsi="楷体" w:eastAsia="楷体" w:cs="Times New Roman"/>
          <w:b w:val="0"/>
          <w:bCs w:val="0"/>
          <w:color w:val="auto"/>
          <w:spacing w:val="6"/>
          <w:szCs w:val="30"/>
          <w:lang w:val="en-US" w:eastAsia="zh-CN"/>
        </w:rPr>
        <w:t>（二）优化资产管理，动态更新信息</w:t>
      </w:r>
    </w:p>
    <w:p>
      <w:pPr>
        <w:ind w:firstLine="654" w:firstLineChars="200"/>
        <w:rPr>
          <w:rFonts w:hint="default" w:ascii="仿宋" w:hAnsi="仿宋" w:eastAsia="仿宋" w:cs="仿宋"/>
          <w:spacing w:val="6"/>
          <w:szCs w:val="30"/>
          <w:lang w:val="en-US" w:eastAsia="zh-CN"/>
        </w:rPr>
      </w:pPr>
      <w:r>
        <w:rPr>
          <w:rFonts w:hint="eastAsia" w:hAnsi="仿宋" w:cs="仿宋"/>
          <w:spacing w:val="6"/>
          <w:kern w:val="30"/>
          <w:sz w:val="30"/>
          <w:szCs w:val="30"/>
          <w:highlight w:val="none"/>
          <w:lang w:val="en-US" w:eastAsia="zh-CN" w:bidi="ar-SA"/>
        </w:rPr>
        <w:t>建议</w:t>
      </w:r>
      <w:r>
        <w:rPr>
          <w:rFonts w:hint="eastAsia" w:hAnsi="仿宋" w:cs="Times New Roman"/>
          <w:szCs w:val="30"/>
          <w:highlight w:val="none"/>
          <w:lang w:val="en-US" w:eastAsia="zh-CN"/>
        </w:rPr>
        <w:t>开展资产清查，查清固定资产情况，提高资产利用率；完善资产信息台账和信息系统，动态更新信息；</w:t>
      </w:r>
      <w:r>
        <w:rPr>
          <w:rFonts w:hint="eastAsia" w:hAnsi="仿宋" w:cs="仿宋"/>
          <w:spacing w:val="6"/>
          <w:szCs w:val="30"/>
          <w:highlight w:val="none"/>
          <w:lang w:val="en-US" w:eastAsia="zh-CN"/>
        </w:rPr>
        <w:t>加快</w:t>
      </w:r>
      <w:r>
        <w:rPr>
          <w:rFonts w:hint="default" w:ascii="仿宋" w:hAnsi="仿宋" w:eastAsia="仿宋" w:cs="仿宋"/>
          <w:spacing w:val="6"/>
          <w:szCs w:val="30"/>
          <w:highlight w:val="none"/>
          <w:lang w:val="en-US" w:eastAsia="zh-CN"/>
        </w:rPr>
        <w:t>构建内容完善、边界清晰的责任体系</w:t>
      </w:r>
      <w:r>
        <w:rPr>
          <w:rFonts w:hint="eastAsia" w:hAnsi="仿宋" w:cs="仿宋"/>
          <w:spacing w:val="6"/>
          <w:szCs w:val="30"/>
          <w:highlight w:val="none"/>
          <w:lang w:val="en-US" w:eastAsia="zh-CN"/>
        </w:rPr>
        <w:t>，</w:t>
      </w:r>
      <w:r>
        <w:rPr>
          <w:rFonts w:hint="default" w:ascii="仿宋" w:hAnsi="仿宋" w:eastAsia="仿宋" w:cs="仿宋"/>
          <w:spacing w:val="6"/>
          <w:szCs w:val="30"/>
          <w:highlight w:val="none"/>
          <w:lang w:val="en-US" w:eastAsia="zh-CN"/>
        </w:rPr>
        <w:t>以清单方式进行全面规范固化，逐条列出，有效避免责任多头、责任真空、责任模糊等现象，确保履</w:t>
      </w:r>
      <w:r>
        <w:rPr>
          <w:rFonts w:hint="eastAsia" w:hAnsi="仿宋" w:cs="仿宋"/>
          <w:spacing w:val="6"/>
          <w:szCs w:val="30"/>
          <w:highlight w:val="none"/>
          <w:lang w:val="en-US" w:eastAsia="zh-CN"/>
        </w:rPr>
        <w:t>责</w:t>
      </w:r>
      <w:r>
        <w:rPr>
          <w:rFonts w:hint="default" w:ascii="仿宋" w:hAnsi="仿宋" w:eastAsia="仿宋" w:cs="仿宋"/>
          <w:spacing w:val="6"/>
          <w:szCs w:val="30"/>
          <w:highlight w:val="none"/>
          <w:lang w:val="en-US" w:eastAsia="zh-CN"/>
        </w:rPr>
        <w:t>有依据、监</w:t>
      </w:r>
      <w:r>
        <w:rPr>
          <w:rFonts w:hint="default" w:ascii="仿宋" w:hAnsi="仿宋" w:eastAsia="仿宋" w:cs="仿宋"/>
          <w:spacing w:val="6"/>
          <w:szCs w:val="30"/>
          <w:lang w:val="en-US" w:eastAsia="zh-CN"/>
        </w:rPr>
        <w:t>督有抓手、追责有方向，使</w:t>
      </w:r>
      <w:r>
        <w:rPr>
          <w:rFonts w:hint="eastAsia" w:hAnsi="仿宋" w:cs="仿宋"/>
          <w:spacing w:val="6"/>
          <w:szCs w:val="30"/>
          <w:lang w:val="en-US" w:eastAsia="zh-CN"/>
        </w:rPr>
        <w:t>相关</w:t>
      </w:r>
      <w:r>
        <w:rPr>
          <w:rFonts w:hint="default" w:ascii="仿宋" w:hAnsi="仿宋" w:eastAsia="仿宋" w:cs="仿宋"/>
          <w:spacing w:val="6"/>
          <w:szCs w:val="30"/>
          <w:lang w:val="en-US" w:eastAsia="zh-CN"/>
        </w:rPr>
        <w:t>责任能够更好地落地落实。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934" w:firstLineChars="200"/>
        <w:jc w:val="both"/>
        <w:textAlignment w:val="auto"/>
        <w:rPr>
          <w:rFonts w:hint="eastAsia" w:ascii="方正小标宋简体" w:hAnsi="Times New Roman" w:eastAsia="方正小标宋简体" w:cs="Times New Roman"/>
          <w:spacing w:val="6"/>
          <w:sz w:val="44"/>
          <w:szCs w:val="44"/>
          <w:lang w:val="en-US" w:eastAsia="zh-CN"/>
        </w:rPr>
      </w:pPr>
    </w:p>
    <w:p>
      <w:pPr>
        <w:pStyle w:val="10"/>
        <w:rPr>
          <w:rFonts w:hint="eastAsia"/>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p>
    <w:p>
      <w:pPr>
        <w:spacing w:line="579" w:lineRule="exact"/>
        <w:jc w:val="center"/>
        <w:rPr>
          <w:rFonts w:hint="eastAsia" w:ascii="方正小标宋简体" w:hAnsi="Times New Roman" w:eastAsia="方正小标宋简体" w:cs="Times New Roman"/>
          <w:spacing w:val="6"/>
          <w:sz w:val="44"/>
          <w:szCs w:val="44"/>
          <w:lang w:val="en-US" w:eastAsia="zh-CN"/>
        </w:rPr>
      </w:pPr>
      <w:r>
        <w:rPr>
          <w:rFonts w:hint="eastAsia" w:ascii="方正小标宋简体" w:hAnsi="Times New Roman" w:eastAsia="方正小标宋简体" w:cs="Times New Roman"/>
          <w:spacing w:val="6"/>
          <w:sz w:val="44"/>
          <w:szCs w:val="44"/>
          <w:lang w:val="en-US" w:eastAsia="zh-CN"/>
        </w:rPr>
        <w:t>玉溪市</w:t>
      </w:r>
      <w:r>
        <w:rPr>
          <w:rFonts w:hint="eastAsia" w:ascii="方正小标宋简体" w:eastAsia="方正小标宋简体" w:cs="Times New Roman"/>
          <w:spacing w:val="6"/>
          <w:sz w:val="44"/>
          <w:szCs w:val="44"/>
          <w:lang w:val="en-US" w:eastAsia="zh-CN"/>
        </w:rPr>
        <w:t>市场监督管理</w:t>
      </w:r>
      <w:r>
        <w:rPr>
          <w:rFonts w:hint="eastAsia" w:ascii="方正小标宋简体" w:hAnsi="Times New Roman" w:eastAsia="方正小标宋简体" w:cs="Times New Roman"/>
          <w:spacing w:val="6"/>
          <w:sz w:val="44"/>
          <w:szCs w:val="44"/>
          <w:lang w:val="en-US" w:eastAsia="zh-CN"/>
        </w:rPr>
        <w:t>局202</w:t>
      </w:r>
      <w:r>
        <w:rPr>
          <w:rFonts w:hint="eastAsia" w:ascii="方正小标宋简体" w:eastAsia="方正小标宋简体" w:cs="Times New Roman"/>
          <w:spacing w:val="6"/>
          <w:sz w:val="44"/>
          <w:szCs w:val="44"/>
          <w:lang w:val="en-US" w:eastAsia="zh-CN"/>
        </w:rPr>
        <w:t>2</w:t>
      </w:r>
      <w:r>
        <w:rPr>
          <w:rFonts w:hint="eastAsia" w:ascii="方正小标宋简体" w:hAnsi="Times New Roman" w:eastAsia="方正小标宋简体" w:cs="Times New Roman"/>
          <w:spacing w:val="6"/>
          <w:sz w:val="44"/>
          <w:szCs w:val="44"/>
          <w:lang w:val="en-US" w:eastAsia="zh-CN"/>
        </w:rPr>
        <w:t>年部门整体</w:t>
      </w:r>
    </w:p>
    <w:p>
      <w:pPr>
        <w:spacing w:line="579" w:lineRule="exact"/>
        <w:jc w:val="center"/>
        <w:rPr>
          <w:rFonts w:hint="default" w:ascii="方正小标宋简体" w:eastAsia="方正小标宋简体"/>
          <w:spacing w:val="6"/>
          <w:sz w:val="44"/>
          <w:szCs w:val="44"/>
          <w:lang w:val="en-US" w:eastAsia="zh-CN"/>
        </w:rPr>
      </w:pPr>
      <w:r>
        <w:rPr>
          <w:rFonts w:hint="eastAsia" w:ascii="方正小标宋简体" w:hAnsi="Times New Roman" w:eastAsia="方正小标宋简体" w:cs="Times New Roman"/>
          <w:spacing w:val="6"/>
          <w:sz w:val="44"/>
          <w:szCs w:val="44"/>
          <w:lang w:val="en-US" w:eastAsia="zh-CN"/>
        </w:rPr>
        <w:t>支出</w:t>
      </w:r>
      <w:r>
        <w:rPr>
          <w:rFonts w:hint="eastAsia" w:ascii="方正小标宋简体" w:eastAsia="方正小标宋简体"/>
          <w:spacing w:val="6"/>
          <w:sz w:val="44"/>
          <w:szCs w:val="44"/>
        </w:rPr>
        <w:t>绩效</w:t>
      </w:r>
      <w:r>
        <w:rPr>
          <w:rFonts w:hint="eastAsia" w:ascii="方正小标宋简体" w:eastAsia="方正小标宋简体"/>
          <w:spacing w:val="6"/>
          <w:sz w:val="44"/>
          <w:szCs w:val="44"/>
          <w:lang w:eastAsia="zh-CN"/>
        </w:rPr>
        <w:t>评价</w:t>
      </w:r>
      <w:r>
        <w:rPr>
          <w:rFonts w:hint="eastAsia" w:ascii="方正小标宋简体" w:eastAsia="方正小标宋简体"/>
          <w:spacing w:val="6"/>
          <w:sz w:val="44"/>
          <w:szCs w:val="44"/>
        </w:rPr>
        <w:t>报告</w:t>
      </w:r>
    </w:p>
    <w:p>
      <w:pPr>
        <w:spacing w:line="579" w:lineRule="exact"/>
        <w:rPr>
          <w:rFonts w:hAnsi="仿宋"/>
          <w:spacing w:val="6"/>
          <w:sz w:val="36"/>
          <w:szCs w:val="36"/>
        </w:rPr>
      </w:pPr>
    </w:p>
    <w:p>
      <w:pPr>
        <w:keepNext w:val="0"/>
        <w:keepLines w:val="0"/>
        <w:pageBreakBefore w:val="0"/>
        <w:widowControl/>
        <w:suppressLineNumbers w:val="0"/>
        <w:kinsoku/>
        <w:wordWrap/>
        <w:overflowPunct/>
        <w:topLinePunct w:val="0"/>
        <w:autoSpaceDE/>
        <w:autoSpaceDN/>
        <w:bidi w:val="0"/>
        <w:adjustRightInd/>
        <w:snapToGrid w:val="0"/>
        <w:spacing w:line="590" w:lineRule="exact"/>
        <w:ind w:firstLine="654" w:firstLineChars="200"/>
        <w:jc w:val="both"/>
        <w:textAlignment w:val="auto"/>
        <w:rPr>
          <w:rFonts w:hint="eastAsia" w:hAnsi="仿宋" w:cs="Times New Roman"/>
          <w:snapToGrid w:val="0"/>
          <w:color w:val="auto"/>
          <w:spacing w:val="6"/>
          <w:kern w:val="0"/>
          <w:sz w:val="30"/>
          <w:szCs w:val="30"/>
          <w:highlight w:val="none"/>
          <w:lang w:val="en-US" w:eastAsia="zh-CN"/>
        </w:rPr>
      </w:pPr>
      <w:r>
        <w:rPr>
          <w:rFonts w:hint="default" w:hAnsi="仿宋" w:cs="Times New Roman"/>
          <w:snapToGrid w:val="0"/>
          <w:color w:val="auto"/>
          <w:spacing w:val="6"/>
          <w:kern w:val="0"/>
          <w:sz w:val="30"/>
          <w:szCs w:val="30"/>
          <w:highlight w:val="none"/>
          <w:lang w:val="en-US" w:eastAsia="zh-CN"/>
        </w:rPr>
        <w:t>根据《中共云南省委 云南省人民政府关于全面实施预算绩效管理的实施意见》（云发〔2019〕11号）、《云南省项目支出绩效评价管理办法》（云财绩〔2020〕11号）及《玉溪市财政局关于开展2023年市级部分项目重点绩效管理的通知》（玉财投〔2023〕3号）的要求</w:t>
      </w:r>
      <w:r>
        <w:rPr>
          <w:rFonts w:hint="eastAsia" w:hAnsi="仿宋" w:cs="Times New Roman"/>
          <w:snapToGrid w:val="0"/>
          <w:color w:val="auto"/>
          <w:spacing w:val="6"/>
          <w:kern w:val="0"/>
          <w:sz w:val="30"/>
          <w:szCs w:val="30"/>
          <w:highlight w:val="none"/>
          <w:lang w:val="en-US" w:eastAsia="zh-CN"/>
        </w:rPr>
        <w:t>，华昆工程管理咨询有限公司接受玉溪市财政局委托，于2023年5月至</w:t>
      </w:r>
      <w:r>
        <w:rPr>
          <w:rFonts w:hint="eastAsia" w:cs="Times New Roman"/>
          <w:snapToGrid w:val="0"/>
          <w:color w:val="auto"/>
          <w:spacing w:val="6"/>
          <w:kern w:val="0"/>
          <w:sz w:val="30"/>
          <w:szCs w:val="30"/>
          <w:highlight w:val="none"/>
          <w:lang w:val="en-US" w:eastAsia="zh-CN"/>
        </w:rPr>
        <w:t>8</w:t>
      </w:r>
      <w:r>
        <w:rPr>
          <w:rFonts w:hint="eastAsia" w:hAnsi="仿宋" w:cs="Times New Roman"/>
          <w:snapToGrid w:val="0"/>
          <w:color w:val="auto"/>
          <w:spacing w:val="6"/>
          <w:kern w:val="0"/>
          <w:sz w:val="30"/>
          <w:szCs w:val="30"/>
          <w:highlight w:val="none"/>
          <w:lang w:val="en-US" w:eastAsia="zh-CN"/>
        </w:rPr>
        <w:t>月对玉溪市市场监督管理局（以下简称市市场监督管理局）2022年部门整体支出开展绩效评价。现将评价情况报告如下：</w:t>
      </w:r>
    </w:p>
    <w:p>
      <w:pPr>
        <w:spacing w:line="579" w:lineRule="exact"/>
        <w:ind w:firstLine="654" w:firstLineChars="200"/>
        <w:outlineLvl w:val="0"/>
        <w:rPr>
          <w:rFonts w:ascii="黑体" w:hAnsi="黑体" w:eastAsia="黑体" w:cs="宋体"/>
          <w:spacing w:val="6"/>
          <w:szCs w:val="30"/>
        </w:rPr>
      </w:pPr>
      <w:bookmarkStart w:id="3" w:name="_Toc9959"/>
      <w:r>
        <w:rPr>
          <w:rFonts w:hint="eastAsia" w:ascii="黑体" w:hAnsi="黑体" w:eastAsia="黑体" w:cs="宋体"/>
          <w:spacing w:val="6"/>
          <w:szCs w:val="30"/>
        </w:rPr>
        <w:t>一、基本情况</w:t>
      </w:r>
      <w:bookmarkEnd w:id="3"/>
    </w:p>
    <w:p>
      <w:pPr>
        <w:spacing w:line="579" w:lineRule="exact"/>
        <w:ind w:firstLine="654" w:firstLineChars="200"/>
        <w:outlineLvl w:val="1"/>
        <w:rPr>
          <w:rFonts w:ascii="楷体" w:hAnsi="楷体" w:eastAsia="楷体"/>
          <w:spacing w:val="6"/>
          <w:kern w:val="30"/>
          <w:sz w:val="30"/>
          <w:szCs w:val="30"/>
        </w:rPr>
      </w:pPr>
      <w:bookmarkStart w:id="4" w:name="_Toc8711"/>
      <w:r>
        <w:rPr>
          <w:rFonts w:hint="eastAsia" w:ascii="楷体" w:hAnsi="楷体" w:eastAsia="楷体"/>
          <w:spacing w:val="6"/>
          <w:kern w:val="30"/>
          <w:sz w:val="30"/>
          <w:szCs w:val="30"/>
        </w:rPr>
        <w:t>（一）部门概况</w:t>
      </w:r>
      <w:bookmarkEnd w:id="4"/>
    </w:p>
    <w:p>
      <w:pPr>
        <w:spacing w:line="590" w:lineRule="exact"/>
        <w:ind w:firstLine="630" w:firstLineChars="200"/>
        <w:rPr>
          <w:rFonts w:hint="eastAsia" w:hAnsi="仿宋"/>
          <w:kern w:val="36"/>
          <w:szCs w:val="30"/>
          <w:lang w:val="en-US" w:eastAsia="zh-CN"/>
        </w:rPr>
      </w:pPr>
      <w:r>
        <w:rPr>
          <w:rFonts w:hint="eastAsia" w:hAnsi="仿宋"/>
          <w:kern w:val="36"/>
          <w:szCs w:val="30"/>
          <w:lang w:val="en-US" w:eastAsia="zh-CN"/>
        </w:rPr>
        <w:t>1.行业背景</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jc w:val="both"/>
        <w:textAlignment w:val="auto"/>
        <w:rPr>
          <w:rFonts w:hint="eastAsia" w:hAnsi="仿宋" w:eastAsia="仿宋" w:cs="Times New Roman"/>
          <w:szCs w:val="30"/>
          <w:lang w:eastAsia="zh-CN"/>
        </w:rPr>
      </w:pPr>
      <w:bookmarkStart w:id="5" w:name="_Toc106287317"/>
      <w:r>
        <w:rPr>
          <w:rFonts w:hint="eastAsia" w:hAnsi="仿宋" w:cs="Times New Roman"/>
          <w:szCs w:val="30"/>
        </w:rPr>
        <w:t>市场是全球最稀缺的资源。经过多年发展，我国已形成超大规模市场，这是构建新发展格局的独特优势和必要条件</w:t>
      </w:r>
      <w:r>
        <w:rPr>
          <w:rFonts w:hint="eastAsia" w:hAnsi="仿宋" w:cs="Times New Roman"/>
          <w:szCs w:val="30"/>
          <w:lang w:eastAsia="zh-CN"/>
        </w:rPr>
        <w:t>。</w:t>
      </w:r>
      <w:r>
        <w:rPr>
          <w:rFonts w:hint="eastAsia" w:hAnsi="仿宋" w:cs="Times New Roman"/>
          <w:szCs w:val="30"/>
        </w:rPr>
        <w:t>与此同时，随着经济总量和各类市场主体快速增长，合作和竞争、优胜和劣汰格局深刻演化；商品和服务市场在相互渗透中加快融合，线上和线下市场在并行交织中形成复杂生态，新产业新业态新模式不断涌现，效率和公平、创新和保护的需求更趋多元；构建新发展格局过程中，国内市场国际化、国际市场中国因素增多的特征更加明显；人民群众对消费安全和消费升级的期待不断提高。</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jc w:val="both"/>
        <w:textAlignment w:val="auto"/>
        <w:rPr>
          <w:rFonts w:hint="eastAsia" w:hAnsi="仿宋" w:eastAsia="仿宋" w:cs="Times New Roman"/>
          <w:szCs w:val="30"/>
          <w:lang w:eastAsia="zh-CN"/>
        </w:rPr>
      </w:pPr>
      <w:r>
        <w:rPr>
          <w:rFonts w:hint="eastAsia" w:hAnsi="仿宋" w:cs="Times New Roman"/>
          <w:szCs w:val="30"/>
        </w:rPr>
        <w:t>创新和完善市场监管，推进市场监管现代化，是建立统一开放竞争有序的现代市场体系的客观需要，是完善社会主义市场经济体制的内在要求。</w:t>
      </w:r>
      <w:r>
        <w:rPr>
          <w:rFonts w:hint="eastAsia" w:hAnsi="仿宋" w:cs="Times New Roman"/>
          <w:szCs w:val="30"/>
          <w:lang w:val="en-US" w:eastAsia="zh-CN"/>
        </w:rPr>
        <w:t>多年来，玉溪市市场监管体系逐步完善，</w:t>
      </w:r>
      <w:r>
        <w:rPr>
          <w:rFonts w:hint="eastAsia" w:hAnsi="仿宋" w:cs="Times New Roman"/>
          <w:szCs w:val="30"/>
        </w:rPr>
        <w:t>围绕省委省政府把玉溪建成“一极两区”发展目标，即滇中崛起增长极，乡村振兴示范区、共同富裕示范区，市场监管系统切实转变监管理念，创新监管方式，着重在提升质量高线、创新智慧监管、实现多元共治、完善监管体制、健全监管机制、优化监管环境等方面做出重大改革举措，着力在形成宽松便捷的营商环境、公平有序的竞争环境、安全放心的消费环境、创新驱动的发展环境等方面取得突破，推动形成“大市场、大监管，大安全、大发展”的玉溪市市场监管现代化格局，促进市域社会治理现代化</w:t>
      </w:r>
      <w:r>
        <w:rPr>
          <w:rFonts w:hint="eastAsia" w:hAnsi="仿宋" w:cs="Times New Roman"/>
          <w:szCs w:val="30"/>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jc w:val="both"/>
        <w:textAlignment w:val="auto"/>
        <w:rPr>
          <w:rFonts w:hint="eastAsia" w:hAnsi="仿宋" w:cs="Times New Roman"/>
          <w:szCs w:val="30"/>
        </w:rPr>
      </w:pPr>
      <w:r>
        <w:rPr>
          <w:rFonts w:hint="eastAsia" w:hAnsi="仿宋" w:cs="Times New Roman"/>
          <w:szCs w:val="30"/>
          <w:lang w:val="en-US" w:eastAsia="zh-CN"/>
        </w:rPr>
        <w:t>2019年</w:t>
      </w:r>
      <w:r>
        <w:rPr>
          <w:rFonts w:hint="eastAsia" w:hAnsi="仿宋" w:cs="Times New Roman"/>
          <w:szCs w:val="30"/>
        </w:rPr>
        <w:t>，</w:t>
      </w:r>
      <w:r>
        <w:rPr>
          <w:rFonts w:hint="eastAsia" w:hAnsi="仿宋"/>
          <w:szCs w:val="30"/>
        </w:rPr>
        <w:t>根据《玉溪市深化市级机构改革实施方案》</w:t>
      </w:r>
      <w:r>
        <w:rPr>
          <w:rFonts w:hint="eastAsia" w:hAnsi="仿宋"/>
          <w:szCs w:val="30"/>
          <w:lang w:eastAsia="zh-CN"/>
        </w:rPr>
        <w:t>（</w:t>
      </w:r>
      <w:r>
        <w:rPr>
          <w:rFonts w:hint="eastAsia" w:hAnsi="仿宋"/>
          <w:szCs w:val="30"/>
        </w:rPr>
        <w:t>玉机改发〔2019〕1号</w:t>
      </w:r>
      <w:r>
        <w:rPr>
          <w:rFonts w:hint="eastAsia" w:hAnsi="仿宋"/>
          <w:szCs w:val="30"/>
          <w:lang w:eastAsia="zh-CN"/>
        </w:rPr>
        <w:t>）</w:t>
      </w:r>
      <w:r>
        <w:rPr>
          <w:rFonts w:hint="eastAsia" w:hAnsi="仿宋"/>
          <w:szCs w:val="30"/>
        </w:rPr>
        <w:t>的通知</w:t>
      </w:r>
      <w:r>
        <w:rPr>
          <w:rFonts w:hint="eastAsia" w:hAnsi="仿宋"/>
          <w:szCs w:val="30"/>
          <w:lang w:eastAsia="zh-CN"/>
        </w:rPr>
        <w:t>，</w:t>
      </w:r>
      <w:r>
        <w:rPr>
          <w:rFonts w:hint="eastAsia" w:hAnsi="仿宋" w:cs="Times New Roman"/>
          <w:szCs w:val="30"/>
          <w:lang w:val="en-US" w:eastAsia="zh-CN"/>
        </w:rPr>
        <w:t>市委、市政府</w:t>
      </w:r>
      <w:r>
        <w:rPr>
          <w:rFonts w:hint="eastAsia" w:hAnsi="仿宋" w:cs="Times New Roman"/>
          <w:szCs w:val="30"/>
        </w:rPr>
        <w:t>将市工商行政管理局、市质量技术监督局、市食品药品监督管理局的职责以及市发展和改革委员会的价格监督检查职责，市科学技术局的知识产权管理职责等整合，组建市市场监督管理局，加挂市政府食品安全委员会办公室、市知识产权局牌子。</w:t>
      </w:r>
      <w:r>
        <w:rPr>
          <w:rFonts w:hint="eastAsia" w:hAnsi="仿宋" w:cs="Times New Roman"/>
          <w:szCs w:val="30"/>
          <w:lang w:val="en-US" w:eastAsia="zh-CN"/>
        </w:rPr>
        <w:t>组建市市场监督管理局</w:t>
      </w:r>
      <w:r>
        <w:rPr>
          <w:rFonts w:hint="eastAsia" w:hAnsi="仿宋" w:cs="Times New Roman"/>
          <w:szCs w:val="30"/>
        </w:rPr>
        <w:t>是市委、市政府贯彻落实习近平总书记关于</w:t>
      </w:r>
      <w:r>
        <w:rPr>
          <w:rFonts w:hint="eastAsia" w:hAnsi="仿宋" w:cs="Times New Roman"/>
          <w:szCs w:val="30"/>
          <w:lang w:val="en-US" w:eastAsia="zh-CN"/>
        </w:rPr>
        <w:t>市场监管</w:t>
      </w:r>
      <w:r>
        <w:rPr>
          <w:rFonts w:hint="eastAsia" w:hAnsi="仿宋" w:cs="Times New Roman"/>
          <w:szCs w:val="30"/>
        </w:rPr>
        <w:t>工作重要论述的具体举措和实际行动，是玉溪市机构改革的重要内容，将对</w:t>
      </w:r>
      <w:r>
        <w:rPr>
          <w:rFonts w:hint="eastAsia" w:hAnsi="仿宋" w:cs="Times New Roman"/>
          <w:szCs w:val="30"/>
          <w:lang w:val="en-US" w:eastAsia="zh-CN"/>
        </w:rPr>
        <w:t>玉溪市</w:t>
      </w:r>
      <w:r>
        <w:rPr>
          <w:rFonts w:hint="eastAsia" w:hAnsi="仿宋" w:cs="Times New Roman"/>
          <w:szCs w:val="30"/>
        </w:rPr>
        <w:t>市场监管格局的重塑和市场体系的构建带来深远的影响，对于构建优化、协同、高效的市场监管体制和运行机制，建立统一开放、竞争有序的市场体系，营造诚实守信、公平竞争的市场环境具有重要意义。</w:t>
      </w:r>
    </w:p>
    <w:p>
      <w:pPr>
        <w:keepNext w:val="0"/>
        <w:keepLines w:val="0"/>
        <w:pageBreakBefore w:val="0"/>
        <w:widowControl w:val="0"/>
        <w:kinsoku/>
        <w:wordWrap/>
        <w:overflowPunct/>
        <w:topLinePunct w:val="0"/>
        <w:autoSpaceDE/>
        <w:autoSpaceDN/>
        <w:bidi w:val="0"/>
        <w:adjustRightInd/>
        <w:snapToGrid/>
        <w:spacing w:line="590" w:lineRule="exact"/>
        <w:ind w:left="0" w:firstLineChars="0"/>
        <w:textAlignment w:val="auto"/>
        <w:rPr>
          <w:rFonts w:hint="eastAsia" w:hAnsi="仿宋"/>
          <w:kern w:val="36"/>
          <w:szCs w:val="30"/>
          <w:lang w:val="en-US" w:eastAsia="zh-CN"/>
        </w:rPr>
      </w:pPr>
      <w:r>
        <w:rPr>
          <w:rFonts w:hint="eastAsia" w:hAnsi="仿宋" w:cs="Times New Roman"/>
          <w:kern w:val="36"/>
          <w:szCs w:val="30"/>
          <w:lang w:val="en-US" w:eastAsia="zh-CN"/>
        </w:rPr>
        <w:t xml:space="preserve">     </w:t>
      </w:r>
      <w:r>
        <w:rPr>
          <w:rFonts w:hint="eastAsia" w:hAnsi="仿宋"/>
          <w:kern w:val="36"/>
          <w:szCs w:val="30"/>
          <w:lang w:val="en-US" w:eastAsia="zh-CN"/>
        </w:rPr>
        <w:t>2.部门职能职责</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（1）负责市场综合监督管理。</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（2）负责市场主体统一登记注册。</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（3）负责组织和指导市场监督管理综合执法工作。</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（4）负责反垄断统一执法。</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（5）负责监督管理市场秩序。</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（6）负责宏观质量管理。</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（7）负责产品质量安全监督管理。</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（8）负责特种设备安全监督管理。</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（9）负责食品安全监督管理综合协调。</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（10）负责食品安全监督管理。</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（11）负责药品（含中药、民族药，下同)、医疗器械和化妆品安全监督管理。</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（12）负责统一管理计量工作。</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rPr>
      </w:pPr>
      <w:r>
        <w:rPr>
          <w:rFonts w:hint="eastAsia" w:hAnsi="仿宋" w:cs="Times New Roman"/>
          <w:szCs w:val="30"/>
          <w:lang w:val="en-US" w:eastAsia="zh-CN"/>
        </w:rPr>
        <w:t xml:space="preserve">（13）负责统一管理标准化工作。 </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rPr>
      </w:pPr>
      <w:r>
        <w:rPr>
          <w:rFonts w:hint="eastAsia" w:hAnsi="仿宋" w:cs="Times New Roman"/>
          <w:szCs w:val="30"/>
          <w:lang w:val="en-US" w:eastAsia="zh-CN"/>
        </w:rPr>
        <w:t xml:space="preserve">（14）负责统一管理检验检测工作。 </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hAnsi="仿宋" w:cs="Times New Roman"/>
          <w:szCs w:val="30"/>
          <w:lang w:val="en-US" w:eastAsia="zh-CN"/>
        </w:rPr>
      </w:pPr>
      <w:r>
        <w:rPr>
          <w:rFonts w:hint="eastAsia" w:hAnsi="仿宋" w:cs="Times New Roman"/>
          <w:szCs w:val="30"/>
          <w:lang w:val="en-US" w:eastAsia="zh-CN"/>
        </w:rPr>
        <w:t>（15）负责统一管理、监督和协调认证认可工作。</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hAnsi="仿宋" w:cs="Times New Roman"/>
          <w:szCs w:val="30"/>
          <w:lang w:val="en-US" w:eastAsia="zh-CN"/>
        </w:rPr>
      </w:pPr>
      <w:r>
        <w:rPr>
          <w:rFonts w:hint="eastAsia" w:hAnsi="仿宋" w:cs="Times New Roman"/>
          <w:szCs w:val="30"/>
          <w:lang w:val="en-US" w:eastAsia="zh-CN"/>
        </w:rPr>
        <w:t>（16）负责知识产权管理工作。</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cs="Times New Roman"/>
          <w:szCs w:val="30"/>
          <w:lang w:val="en-US" w:eastAsia="zh-CN"/>
        </w:rPr>
      </w:pPr>
      <w:r>
        <w:rPr>
          <w:rFonts w:hint="eastAsia" w:hAnsi="仿宋" w:cs="Times New Roman"/>
          <w:szCs w:val="30"/>
          <w:lang w:val="en-US" w:eastAsia="zh-CN"/>
        </w:rPr>
        <w:t>（17）负责市场监督管理科技和信息化建设、新闻宣</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default" w:hAnsi="仿宋" w:cs="Times New Roman"/>
          <w:szCs w:val="30"/>
          <w:lang w:val="en-US" w:eastAsia="zh-CN"/>
        </w:rPr>
      </w:pPr>
      <w:r>
        <w:rPr>
          <w:rFonts w:hint="eastAsia" w:hAnsi="仿宋" w:cs="Times New Roman"/>
          <w:szCs w:val="30"/>
          <w:lang w:val="en-US" w:eastAsia="zh-CN"/>
        </w:rPr>
        <w:t>传等工作。</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hAnsi="仿宋" w:cs="Times New Roman"/>
          <w:szCs w:val="30"/>
          <w:lang w:val="en-US" w:eastAsia="zh-CN"/>
        </w:rPr>
      </w:pPr>
      <w:r>
        <w:rPr>
          <w:rFonts w:hint="eastAsia" w:hAnsi="仿宋" w:cs="Times New Roman"/>
          <w:szCs w:val="30"/>
          <w:lang w:val="en-US" w:eastAsia="zh-CN"/>
        </w:rPr>
        <w:t>（18）完成市委、市政府交办的其他任务。</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hAnsi="仿宋" w:cs="Times New Roman"/>
          <w:szCs w:val="30"/>
          <w:lang w:val="en-US" w:eastAsia="zh-CN"/>
        </w:rPr>
      </w:pPr>
      <w:r>
        <w:rPr>
          <w:rFonts w:hint="eastAsia" w:hAnsi="仿宋" w:cs="Times New Roman"/>
          <w:szCs w:val="30"/>
          <w:lang w:val="en-US" w:eastAsia="zh-CN"/>
        </w:rPr>
        <w:t>（19）</w:t>
      </w:r>
      <w:r>
        <w:rPr>
          <w:rFonts w:hint="eastAsia" w:hAnsi="仿宋" w:cs="Times New Roman"/>
          <w:szCs w:val="30"/>
          <w:highlight w:val="none"/>
          <w:lang w:val="en-US" w:eastAsia="zh-CN"/>
        </w:rPr>
        <w:t>职能转变。</w:t>
      </w:r>
      <w:r>
        <w:rPr>
          <w:rFonts w:hint="eastAsia" w:hAnsi="仿宋" w:cs="Times New Roman"/>
          <w:szCs w:val="30"/>
          <w:lang w:val="en-US" w:eastAsia="zh-CN"/>
        </w:rPr>
        <w:t>市市场监督管理局要大力推进质量提升，深入简政放权，严守安全底线、加强事中事后监管、提高服务水平。</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default" w:hAnsi="仿宋"/>
          <w:kern w:val="36"/>
          <w:szCs w:val="30"/>
          <w:lang w:val="en-US" w:eastAsia="zh-CN"/>
        </w:rPr>
      </w:pPr>
      <w:r>
        <w:rPr>
          <w:rFonts w:hint="eastAsia" w:hAnsi="仿宋"/>
          <w:kern w:val="36"/>
          <w:szCs w:val="30"/>
          <w:lang w:val="en-US" w:eastAsia="zh-CN"/>
        </w:rPr>
        <w:t>3.部门职能归类</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仿宋" w:hAnsi="仿宋" w:eastAsia="仿宋" w:cs="仿宋"/>
        </w:rPr>
      </w:pPr>
      <w:r>
        <w:rPr>
          <w:rFonts w:hint="eastAsia" w:ascii="仿宋" w:hAnsi="仿宋" w:eastAsia="仿宋" w:cs="仿宋"/>
          <w:i w:val="0"/>
          <w:strike w:val="0"/>
          <w:color w:val="000000"/>
          <w:sz w:val="30"/>
          <w:u w:val="none"/>
        </w:rPr>
        <w:t>根据</w:t>
      </w:r>
      <w:r>
        <w:rPr>
          <w:rFonts w:hint="eastAsia" w:ascii="仿宋" w:hAnsi="仿宋" w:eastAsia="仿宋" w:cs="仿宋"/>
          <w:i w:val="0"/>
          <w:strike w:val="0"/>
          <w:color w:val="000000"/>
          <w:sz w:val="30"/>
          <w:u w:val="none"/>
          <w:lang w:val="en-US" w:eastAsia="zh-CN"/>
        </w:rPr>
        <w:t>中共玉溪市委办公室 玉溪市人民政府办公室关于印发《玉溪市市场监督管理局职能配置、内设机构和人员编制规定》</w:t>
      </w:r>
      <w:r>
        <w:rPr>
          <w:rFonts w:hint="eastAsia" w:hAnsi="仿宋" w:cs="仿宋"/>
          <w:i w:val="0"/>
          <w:strike w:val="0"/>
          <w:color w:val="000000"/>
          <w:sz w:val="30"/>
          <w:u w:val="none"/>
          <w:lang w:val="en-US" w:eastAsia="zh-CN"/>
        </w:rPr>
        <w:t>的通知</w:t>
      </w:r>
      <w:r>
        <w:rPr>
          <w:rFonts w:hint="eastAsia" w:ascii="仿宋" w:hAnsi="仿宋" w:eastAsia="仿宋" w:cs="仿宋"/>
          <w:i w:val="0"/>
          <w:strike w:val="0"/>
          <w:color w:val="000000"/>
          <w:sz w:val="30"/>
          <w:u w:val="none"/>
        </w:rPr>
        <w:t>（</w:t>
      </w:r>
      <w:r>
        <w:rPr>
          <w:rFonts w:hint="eastAsia" w:ascii="仿宋" w:hAnsi="仿宋" w:eastAsia="仿宋" w:cs="仿宋"/>
          <w:szCs w:val="30"/>
          <w:lang w:val="en-US" w:eastAsia="zh-CN"/>
        </w:rPr>
        <w:t>玉</w:t>
      </w:r>
      <w:r>
        <w:rPr>
          <w:rFonts w:hint="eastAsia" w:hAnsi="仿宋" w:cs="仿宋"/>
          <w:szCs w:val="30"/>
          <w:lang w:val="en-US" w:eastAsia="zh-CN"/>
        </w:rPr>
        <w:t>室字</w:t>
      </w:r>
      <w:r>
        <w:rPr>
          <w:rFonts w:hint="eastAsia" w:ascii="仿宋" w:hAnsi="仿宋" w:eastAsia="仿宋" w:cs="仿宋"/>
          <w:szCs w:val="30"/>
        </w:rPr>
        <w:t>〔20</w:t>
      </w:r>
      <w:r>
        <w:rPr>
          <w:rFonts w:hint="eastAsia" w:hAnsi="仿宋" w:cs="仿宋"/>
          <w:szCs w:val="30"/>
          <w:lang w:val="en-US" w:eastAsia="zh-CN"/>
        </w:rPr>
        <w:t>19</w:t>
      </w:r>
      <w:r>
        <w:rPr>
          <w:rFonts w:hint="eastAsia" w:ascii="仿宋" w:hAnsi="仿宋" w:eastAsia="仿宋" w:cs="仿宋"/>
          <w:szCs w:val="30"/>
        </w:rPr>
        <w:t>〕</w:t>
      </w:r>
      <w:r>
        <w:rPr>
          <w:rFonts w:hint="eastAsia" w:hAnsi="仿宋" w:cs="仿宋"/>
          <w:szCs w:val="30"/>
          <w:lang w:val="en-US" w:eastAsia="zh-CN"/>
        </w:rPr>
        <w:t>46</w:t>
      </w:r>
      <w:r>
        <w:rPr>
          <w:rFonts w:hint="eastAsia" w:ascii="仿宋" w:hAnsi="仿宋" w:eastAsia="仿宋" w:cs="仿宋"/>
          <w:szCs w:val="30"/>
        </w:rPr>
        <w:t>号</w:t>
      </w:r>
      <w:r>
        <w:rPr>
          <w:rFonts w:hint="eastAsia" w:ascii="仿宋" w:hAnsi="仿宋" w:eastAsia="仿宋" w:cs="仿宋"/>
          <w:i w:val="0"/>
          <w:strike w:val="0"/>
          <w:color w:val="000000"/>
          <w:sz w:val="30"/>
          <w:u w:val="none"/>
        </w:rPr>
        <w:t>）</w:t>
      </w:r>
      <w:r>
        <w:rPr>
          <w:rFonts w:hint="eastAsia" w:ascii="仿宋" w:hAnsi="仿宋" w:eastAsia="仿宋" w:cs="仿宋"/>
          <w:i w:val="0"/>
          <w:strike w:val="0"/>
          <w:color w:val="000000"/>
          <w:sz w:val="30"/>
          <w:u w:val="none"/>
          <w:lang w:val="en-US" w:eastAsia="zh-CN"/>
        </w:rPr>
        <w:t>文件</w:t>
      </w:r>
      <w:r>
        <w:rPr>
          <w:rFonts w:hint="eastAsia" w:hAnsi="仿宋" w:cs="仿宋"/>
          <w:i w:val="0"/>
          <w:strike w:val="0"/>
          <w:color w:val="000000"/>
          <w:sz w:val="30"/>
          <w:u w:val="none"/>
          <w:lang w:val="en-US" w:eastAsia="zh-CN"/>
        </w:rPr>
        <w:t>内</w:t>
      </w:r>
      <w:r>
        <w:rPr>
          <w:rFonts w:hint="eastAsia" w:ascii="仿宋" w:hAnsi="仿宋" w:eastAsia="仿宋" w:cs="仿宋"/>
          <w:i w:val="0"/>
          <w:strike w:val="0"/>
          <w:color w:val="000000"/>
          <w:sz w:val="30"/>
          <w:u w:val="none"/>
        </w:rPr>
        <w:t>规定的1</w:t>
      </w:r>
      <w:r>
        <w:rPr>
          <w:rFonts w:hint="eastAsia" w:hAnsi="仿宋" w:cs="仿宋"/>
          <w:i w:val="0"/>
          <w:strike w:val="0"/>
          <w:color w:val="000000"/>
          <w:sz w:val="30"/>
          <w:u w:val="none"/>
          <w:lang w:val="en-US" w:eastAsia="zh-CN"/>
        </w:rPr>
        <w:t>9</w:t>
      </w:r>
      <w:r>
        <w:rPr>
          <w:rFonts w:hint="eastAsia" w:ascii="仿宋" w:hAnsi="仿宋" w:eastAsia="仿宋" w:cs="仿宋"/>
          <w:i w:val="0"/>
          <w:strike w:val="0"/>
          <w:color w:val="000000"/>
          <w:sz w:val="30"/>
          <w:u w:val="none"/>
        </w:rPr>
        <w:t>项职能以及部门主要工作内容，我们将其职能划分为</w:t>
      </w:r>
      <w:r>
        <w:rPr>
          <w:rFonts w:hint="eastAsia" w:hAnsi="仿宋" w:cs="仿宋"/>
          <w:i w:val="0"/>
          <w:strike w:val="0"/>
          <w:color w:val="000000"/>
          <w:sz w:val="30"/>
          <w:u w:val="none"/>
          <w:lang w:val="en-US" w:eastAsia="zh-CN"/>
        </w:rPr>
        <w:t>3</w:t>
      </w:r>
      <w:r>
        <w:rPr>
          <w:rFonts w:hint="eastAsia" w:ascii="仿宋" w:hAnsi="仿宋" w:eastAsia="仿宋" w:cs="仿宋"/>
          <w:i w:val="0"/>
          <w:strike w:val="0"/>
          <w:color w:val="000000"/>
          <w:sz w:val="30"/>
          <w:u w:val="none"/>
        </w:rPr>
        <w:t>大类：</w:t>
      </w:r>
      <w:r>
        <w:rPr>
          <w:rFonts w:hint="eastAsia" w:hAnsi="仿宋" w:cs="仿宋"/>
          <w:i w:val="0"/>
          <w:strike w:val="0"/>
          <w:color w:val="000000"/>
          <w:sz w:val="30"/>
          <w:u w:val="none"/>
          <w:lang w:val="en-US" w:eastAsia="zh-CN"/>
        </w:rPr>
        <w:t>市场监督管理、市</w:t>
      </w:r>
      <w:r>
        <w:rPr>
          <w:rFonts w:hint="eastAsia" w:hAnsi="仿宋" w:cs="仿宋"/>
          <w:b w:val="0"/>
          <w:i w:val="0"/>
          <w:strike w:val="0"/>
          <w:color w:val="000000"/>
          <w:spacing w:val="0"/>
          <w:sz w:val="30"/>
          <w:u w:val="none"/>
          <w:lang w:val="en-US" w:eastAsia="zh-CN"/>
        </w:rPr>
        <w:t>场质量安全监督管理、质量监管体系构建</w:t>
      </w:r>
      <w:r>
        <w:rPr>
          <w:rFonts w:hint="eastAsia" w:ascii="仿宋" w:hAnsi="仿宋" w:eastAsia="仿宋" w:cs="仿宋"/>
          <w:i w:val="0"/>
          <w:strike w:val="0"/>
          <w:color w:val="000000"/>
          <w:sz w:val="30"/>
          <w:u w:val="none"/>
        </w:rPr>
        <w:t>。细分为</w:t>
      </w:r>
      <w:r>
        <w:rPr>
          <w:rFonts w:hint="eastAsia" w:hAnsi="仿宋" w:cs="仿宋"/>
          <w:i w:val="0"/>
          <w:strike w:val="0"/>
          <w:color w:val="000000"/>
          <w:sz w:val="30"/>
          <w:u w:val="none"/>
          <w:lang w:val="en-US" w:eastAsia="zh-CN"/>
        </w:rPr>
        <w:t>14</w:t>
      </w:r>
      <w:r>
        <w:rPr>
          <w:rFonts w:hint="eastAsia" w:ascii="仿宋" w:hAnsi="仿宋" w:eastAsia="仿宋" w:cs="仿宋"/>
          <w:i w:val="0"/>
          <w:strike w:val="0"/>
          <w:color w:val="000000"/>
          <w:sz w:val="30"/>
          <w:u w:val="none"/>
        </w:rPr>
        <w:t>大项：市场监督管理制度建设</w:t>
      </w:r>
      <w:r>
        <w:rPr>
          <w:rFonts w:hint="eastAsia" w:hAnsi="仿宋" w:cs="仿宋"/>
          <w:i w:val="0"/>
          <w:strike w:val="0"/>
          <w:color w:val="000000"/>
          <w:sz w:val="30"/>
          <w:u w:val="none"/>
          <w:lang w:eastAsia="zh-CN"/>
        </w:rPr>
        <w:t>、市场主体统一登记注册、综合执法、市场秩序监督管理、宏观质量管理、计量工作管理</w:t>
      </w:r>
      <w:r>
        <w:rPr>
          <w:rFonts w:hint="eastAsia" w:ascii="仿宋" w:hAnsi="仿宋" w:eastAsia="仿宋" w:cs="仿宋"/>
          <w:i w:val="0"/>
          <w:strike w:val="0"/>
          <w:color w:val="000000"/>
          <w:sz w:val="30"/>
          <w:u w:val="none"/>
        </w:rPr>
        <w:t>等职责。具体职能归类如表1所示。</w:t>
      </w:r>
    </w:p>
    <w:p>
      <w:pPr>
        <w:spacing w:before="0" w:after="0" w:line="579" w:lineRule="exact"/>
        <w:ind w:left="0" w:right="0" w:firstLine="406" w:firstLineChars="200"/>
        <w:jc w:val="center"/>
        <w:rPr>
          <w:rFonts w:ascii="黑体" w:hAnsi="黑体" w:eastAsia="黑体" w:cs="黑体"/>
          <w:b w:val="0"/>
          <w:bCs/>
          <w:sz w:val="24"/>
        </w:rPr>
      </w:pPr>
      <w:r>
        <w:rPr>
          <w:rFonts w:ascii="黑体" w:hAnsi="黑体" w:eastAsia="黑体" w:cs="黑体"/>
          <w:b w:val="0"/>
          <w:bCs/>
          <w:i w:val="0"/>
          <w:strike w:val="0"/>
          <w:color w:val="000000"/>
          <w:spacing w:val="-26"/>
          <w:sz w:val="24"/>
          <w:u w:val="none"/>
        </w:rPr>
        <w:t xml:space="preserve">表 </w:t>
      </w:r>
      <w:r>
        <w:rPr>
          <w:rFonts w:ascii="黑体" w:hAnsi="黑体" w:eastAsia="黑体" w:cs="黑体"/>
          <w:b w:val="0"/>
          <w:bCs/>
          <w:i w:val="0"/>
          <w:strike w:val="0"/>
          <w:color w:val="000000"/>
          <w:sz w:val="24"/>
          <w:u w:val="none"/>
        </w:rPr>
        <w:t>1</w:t>
      </w:r>
      <w:r>
        <w:rPr>
          <w:rFonts w:hint="eastAsia" w:ascii="黑体" w:hAnsi="黑体" w:eastAsia="黑体" w:cs="黑体"/>
          <w:b w:val="0"/>
          <w:bCs/>
          <w:i w:val="0"/>
          <w:strike w:val="0"/>
          <w:color w:val="000000"/>
          <w:sz w:val="24"/>
          <w:u w:val="none"/>
          <w:lang w:eastAsia="zh-CN"/>
        </w:rPr>
        <w:t>：</w:t>
      </w:r>
      <w:r>
        <w:rPr>
          <w:rFonts w:ascii="黑体" w:hAnsi="黑体" w:eastAsia="黑体" w:cs="黑体"/>
          <w:b w:val="0"/>
          <w:bCs/>
          <w:i w:val="0"/>
          <w:strike w:val="0"/>
          <w:color w:val="000000"/>
          <w:sz w:val="24"/>
          <w:u w:val="none"/>
        </w:rPr>
        <w:t>市</w:t>
      </w:r>
      <w:r>
        <w:rPr>
          <w:rFonts w:hint="eastAsia" w:ascii="黑体" w:hAnsi="黑体" w:eastAsia="黑体" w:cs="黑体"/>
          <w:b w:val="0"/>
          <w:bCs/>
          <w:i w:val="0"/>
          <w:strike w:val="0"/>
          <w:color w:val="000000"/>
          <w:sz w:val="24"/>
          <w:u w:val="none"/>
          <w:lang w:val="en-US" w:eastAsia="zh-CN"/>
        </w:rPr>
        <w:t>市场监督管理</w:t>
      </w:r>
      <w:r>
        <w:rPr>
          <w:rFonts w:ascii="黑体" w:hAnsi="黑体" w:eastAsia="黑体" w:cs="黑体"/>
          <w:b w:val="0"/>
          <w:bCs/>
          <w:i w:val="0"/>
          <w:strike w:val="0"/>
          <w:color w:val="000000"/>
          <w:sz w:val="24"/>
          <w:u w:val="none"/>
        </w:rPr>
        <w:t>局</w:t>
      </w:r>
      <w:r>
        <w:rPr>
          <w:rFonts w:ascii="黑体" w:hAnsi="黑体" w:eastAsia="黑体" w:cs="黑体"/>
          <w:b w:val="0"/>
          <w:bCs/>
          <w:i w:val="0"/>
          <w:strike w:val="0"/>
          <w:color w:val="000000"/>
          <w:spacing w:val="-1"/>
          <w:sz w:val="24"/>
          <w:u w:val="none"/>
        </w:rPr>
        <w:t>具体职能归类表</w:t>
      </w:r>
    </w:p>
    <w:tbl>
      <w:tblPr>
        <w:tblStyle w:val="20"/>
        <w:tblW w:w="9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1"/>
        <w:gridCol w:w="65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26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b/>
                <w:bCs/>
                <w:i w:val="0"/>
                <w:iCs w:val="0"/>
                <w:color w:val="000000"/>
                <w:sz w:val="21"/>
                <w:szCs w:val="21"/>
                <w:u w:val="none"/>
                <w:lang w:val="en-US" w:eastAsia="zh-CN"/>
              </w:rPr>
            </w:pPr>
            <w:r>
              <w:rPr>
                <w:rStyle w:val="46"/>
                <w:rFonts w:hint="eastAsia"/>
                <w:lang w:val="en-US" w:eastAsia="zh-CN" w:bidi="ar"/>
              </w:rPr>
              <w:t>活动</w:t>
            </w: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b/>
                <w:bCs/>
                <w:i w:val="0"/>
                <w:iCs w:val="0"/>
                <w:color w:val="000000"/>
                <w:sz w:val="21"/>
                <w:szCs w:val="21"/>
                <w:u w:val="none"/>
              </w:rPr>
            </w:pPr>
            <w:r>
              <w:rPr>
                <w:rStyle w:val="46"/>
                <w:lang w:val="en-US" w:eastAsia="zh-CN" w:bidi="ar"/>
              </w:rPr>
              <w:t>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65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市场监督管理</w:t>
            </w: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市场监督管理制度建设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26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华文仿宋" w:hAnsi="华文仿宋" w:eastAsia="华文仿宋" w:cs="华文仿宋"/>
                <w:i w:val="0"/>
                <w:iCs w:val="0"/>
                <w:color w:val="000000"/>
                <w:sz w:val="21"/>
                <w:szCs w:val="21"/>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市场主体统一登记注册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华文仿宋" w:hAnsi="华文仿宋" w:eastAsia="华文仿宋" w:cs="华文仿宋"/>
                <w:i w:val="0"/>
                <w:iCs w:val="0"/>
                <w:color w:val="000000"/>
                <w:sz w:val="21"/>
                <w:szCs w:val="21"/>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综合执法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5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华文仿宋" w:hAnsi="华文仿宋" w:eastAsia="华文仿宋" w:cs="华文仿宋"/>
                <w:i w:val="0"/>
                <w:iCs w:val="0"/>
                <w:color w:val="000000"/>
                <w:sz w:val="21"/>
                <w:szCs w:val="21"/>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市场秩序监督管理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质量安全监督管理</w:t>
            </w: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宏观质量管理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i w:val="0"/>
                <w:iCs w:val="0"/>
                <w:color w:val="000000"/>
                <w:sz w:val="21"/>
                <w:szCs w:val="21"/>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产品质量安全监督管理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i w:val="0"/>
                <w:iCs w:val="0"/>
                <w:color w:val="000000"/>
                <w:sz w:val="21"/>
                <w:szCs w:val="21"/>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特种设备安全监督管理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i w:val="0"/>
                <w:iCs w:val="0"/>
                <w:color w:val="000000"/>
                <w:sz w:val="21"/>
                <w:szCs w:val="21"/>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食品安全监督综合协调及管理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华文仿宋" w:hAnsi="华文仿宋" w:eastAsia="华文仿宋" w:cs="华文仿宋"/>
                <w:i w:val="0"/>
                <w:iCs w:val="0"/>
                <w:color w:val="000000"/>
                <w:sz w:val="21"/>
                <w:szCs w:val="21"/>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sz w:val="21"/>
                <w:szCs w:val="21"/>
                <w:u w:val="none"/>
              </w:rPr>
            </w:pPr>
            <w:r>
              <w:rPr>
                <w:rFonts w:hint="eastAsia" w:ascii="华文仿宋" w:hAnsi="华文仿宋" w:eastAsia="华文仿宋" w:cs="华文仿宋"/>
                <w:i w:val="0"/>
                <w:iCs w:val="0"/>
                <w:color w:val="000000"/>
                <w:kern w:val="0"/>
                <w:sz w:val="21"/>
                <w:szCs w:val="21"/>
                <w:u w:val="none"/>
                <w:lang w:val="en-US" w:eastAsia="zh-CN" w:bidi="ar"/>
              </w:rPr>
              <w:t>药品、医疗器械和化妆品安全监督管理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2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质量监管体系构建</w:t>
            </w: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计量工作管理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标准化工作管理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检验监测工作管理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认证认可工作管理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知识产权工作管理</w:t>
            </w:r>
          </w:p>
        </w:tc>
      </w:tr>
    </w:tbl>
    <w:p>
      <w:pPr>
        <w:spacing w:line="590" w:lineRule="exact"/>
        <w:ind w:firstLine="630" w:firstLineChars="200"/>
        <w:rPr>
          <w:rFonts w:hint="eastAsia" w:hAnsi="仿宋"/>
          <w:kern w:val="36"/>
          <w:szCs w:val="30"/>
          <w:lang w:val="en-US" w:eastAsia="zh-CN"/>
        </w:rPr>
      </w:pPr>
      <w:r>
        <w:rPr>
          <w:rFonts w:hint="eastAsia" w:hAnsi="仿宋"/>
          <w:kern w:val="36"/>
          <w:szCs w:val="30"/>
          <w:lang w:val="en-US" w:eastAsia="zh-CN"/>
        </w:rPr>
        <w:t>4.机构设置及人员情况</w:t>
      </w:r>
    </w:p>
    <w:p>
      <w:pPr>
        <w:numPr>
          <w:ilvl w:val="0"/>
          <w:numId w:val="0"/>
        </w:numPr>
        <w:spacing w:line="590" w:lineRule="exact"/>
        <w:ind w:left="600" w:leftChars="0"/>
        <w:rPr>
          <w:rFonts w:hint="eastAsia" w:hAnsi="仿宋"/>
          <w:kern w:val="36"/>
          <w:szCs w:val="30"/>
          <w:lang w:val="en-US" w:eastAsia="zh-CN"/>
        </w:rPr>
      </w:pPr>
      <w:r>
        <w:rPr>
          <w:rFonts w:hint="eastAsia" w:hAnsi="仿宋"/>
          <w:kern w:val="36"/>
          <w:szCs w:val="30"/>
          <w:lang w:val="en-US" w:eastAsia="zh-CN"/>
        </w:rPr>
        <w:t>（1）组织架构</w:t>
      </w:r>
    </w:p>
    <w:p>
      <w:pPr>
        <w:spacing w:line="590" w:lineRule="exact"/>
        <w:ind w:firstLine="630" w:firstLineChars="200"/>
        <w:rPr>
          <w:rFonts w:hint="default" w:hAnsi="仿宋" w:cs="Times New Roman"/>
          <w:szCs w:val="30"/>
          <w:lang w:val="en-US" w:eastAsia="zh-CN"/>
        </w:rPr>
      </w:pPr>
      <w:r>
        <w:rPr>
          <w:rFonts w:hint="default" w:hAnsi="仿宋" w:cs="Times New Roman"/>
          <w:szCs w:val="30"/>
          <w:lang w:val="en-US" w:eastAsia="zh-CN"/>
        </w:rPr>
        <w:t>市市场监督管理局（本级）内设机构26个和机关党委、离退休人员办公室（正科级）：办公室、政策法规科、行政审批科、执法稽查科、信用监督科、两反科、价格监督科、网络交易监督科、消费环境建设指导科、广告监督科、质量发展科、食品安全协调科、食品生产监督科、食品流通监督科、餐饮食品监督科、药品监督科、疫苗监督科、化妆品监督科、医疗器械监督科、产品抽检科、特种设备安全监察科、计量和认证认可科、标准化科、知识产权科、财务科、人事科。</w:t>
      </w:r>
    </w:p>
    <w:p>
      <w:pPr>
        <w:spacing w:line="590" w:lineRule="exact"/>
        <w:ind w:firstLine="630" w:firstLineChars="200"/>
        <w:rPr>
          <w:rFonts w:hint="eastAsia" w:hAnsi="仿宋" w:cs="Times New Roman"/>
          <w:szCs w:val="30"/>
          <w:lang w:val="en-US" w:eastAsia="zh-CN"/>
        </w:rPr>
      </w:pPr>
      <w:r>
        <w:rPr>
          <w:rFonts w:hint="eastAsia" w:hAnsi="仿宋" w:cs="Times New Roman"/>
          <w:szCs w:val="30"/>
          <w:lang w:val="en-US" w:eastAsia="zh-CN"/>
        </w:rPr>
        <w:t>玉溪市市场监督管理局高新技术产业开发区分局内设机构6个和党建办公室:办公室、政策法规与行政审批股( 知识产权股)、食品药品安全监督管理股、特种设备安全监察股、质量计量认证认可和标准化股、消费环境建设与信用广告网络交易监督管理股，党建办公室。在中共玉溪高新区工作委员会领导下，负责小微企业、个体工商户、专业市场的党建工作。</w:t>
      </w:r>
    </w:p>
    <w:p>
      <w:pPr>
        <w:spacing w:line="590" w:lineRule="exact"/>
        <w:ind w:firstLine="630" w:firstLineChars="200"/>
        <w:rPr>
          <w:rFonts w:hint="eastAsia" w:hAnsi="仿宋" w:cs="Times New Roman"/>
          <w:szCs w:val="30"/>
          <w:lang w:val="en-US" w:eastAsia="zh-CN"/>
        </w:rPr>
      </w:pPr>
      <w:r>
        <w:rPr>
          <w:rFonts w:hint="eastAsia" w:hAnsi="仿宋" w:cs="Times New Roman"/>
          <w:szCs w:val="30"/>
          <w:lang w:val="en-US" w:eastAsia="zh-CN"/>
        </w:rPr>
        <w:t>玉溪市市场监督管理局下设5个下属事业单位，分别是：</w:t>
      </w:r>
      <w:r>
        <w:rPr>
          <w:rFonts w:hint="default" w:hAnsi="仿宋" w:cs="Times New Roman"/>
          <w:szCs w:val="30"/>
          <w:lang w:val="en-US" w:eastAsia="zh-CN"/>
        </w:rPr>
        <w:t>玉溪市食品药品检验所、玉溪市121315投诉举报中心、玉溪市知识产权援助中心、玉溪市药品评价中心</w:t>
      </w:r>
      <w:r>
        <w:rPr>
          <w:rFonts w:hint="eastAsia" w:hAnsi="仿宋" w:cs="Times New Roman"/>
          <w:szCs w:val="30"/>
          <w:lang w:val="en-US" w:eastAsia="zh-CN"/>
        </w:rPr>
        <w:t>、</w:t>
      </w:r>
      <w:r>
        <w:rPr>
          <w:rFonts w:hint="default" w:hAnsi="仿宋" w:cs="Times New Roman"/>
          <w:szCs w:val="30"/>
          <w:lang w:val="en-US" w:eastAsia="zh-CN"/>
        </w:rPr>
        <w:t>玉溪市质量技术监督综合检测中心</w:t>
      </w:r>
      <w:r>
        <w:rPr>
          <w:rFonts w:hint="eastAsia" w:hAnsi="仿宋" w:cs="Times New Roman"/>
          <w:szCs w:val="30"/>
          <w:lang w:val="en-US" w:eastAsia="zh-CN"/>
        </w:rPr>
        <w:t>。</w:t>
      </w:r>
    </w:p>
    <w:p>
      <w:pPr>
        <w:spacing w:line="590" w:lineRule="exact"/>
        <w:ind w:firstLine="630" w:firstLineChars="200"/>
        <w:rPr>
          <w:rFonts w:hint="eastAsia" w:hAnsi="仿宋"/>
          <w:kern w:val="36"/>
          <w:szCs w:val="30"/>
          <w:highlight w:val="none"/>
          <w:lang w:val="en-US" w:eastAsia="zh-CN"/>
        </w:rPr>
      </w:pPr>
      <w:r>
        <w:rPr>
          <w:rFonts w:hint="eastAsia" w:hAnsi="仿宋"/>
          <w:kern w:val="36"/>
          <w:szCs w:val="30"/>
          <w:highlight w:val="none"/>
          <w:lang w:val="en-US" w:eastAsia="zh-CN"/>
        </w:rPr>
        <w:t>（2）人员情况</w:t>
      </w:r>
    </w:p>
    <w:p>
      <w:pPr>
        <w:spacing w:line="590" w:lineRule="exact"/>
        <w:ind w:firstLine="630" w:firstLineChars="200"/>
        <w:rPr>
          <w:rFonts w:hint="eastAsia" w:hAnsi="仿宋"/>
          <w:kern w:val="36"/>
          <w:szCs w:val="30"/>
          <w:highlight w:val="none"/>
          <w:lang w:val="en-US" w:eastAsia="zh-CN"/>
        </w:rPr>
      </w:pPr>
      <w:r>
        <w:rPr>
          <w:rFonts w:hint="default" w:hAnsi="仿宋" w:cs="Times New Roman"/>
          <w:szCs w:val="30"/>
          <w:highlight w:val="none"/>
          <w:lang w:val="en-US" w:eastAsia="zh-CN"/>
        </w:rPr>
        <w:t>2022年市市场监督管理局人员编制2</w:t>
      </w:r>
      <w:r>
        <w:rPr>
          <w:rFonts w:hint="eastAsia" w:hAnsi="仿宋" w:cs="Times New Roman"/>
          <w:szCs w:val="30"/>
          <w:highlight w:val="none"/>
          <w:lang w:val="en-US" w:eastAsia="zh-CN"/>
        </w:rPr>
        <w:t>39</w:t>
      </w:r>
      <w:r>
        <w:rPr>
          <w:rFonts w:hint="default" w:hAnsi="仿宋" w:cs="Times New Roman"/>
          <w:szCs w:val="30"/>
          <w:highlight w:val="none"/>
          <w:lang w:val="en-US" w:eastAsia="zh-CN"/>
        </w:rPr>
        <w:t>名，其中：行政编制11</w:t>
      </w:r>
      <w:r>
        <w:rPr>
          <w:rFonts w:hint="eastAsia" w:hAnsi="仿宋" w:cs="Times New Roman"/>
          <w:szCs w:val="30"/>
          <w:highlight w:val="none"/>
          <w:lang w:val="en-US" w:eastAsia="zh-CN"/>
        </w:rPr>
        <w:t>7</w:t>
      </w:r>
      <w:r>
        <w:rPr>
          <w:rFonts w:hint="default" w:hAnsi="仿宋" w:cs="Times New Roman"/>
          <w:szCs w:val="30"/>
          <w:highlight w:val="none"/>
          <w:lang w:val="en-US" w:eastAsia="zh-CN"/>
        </w:rPr>
        <w:t>人，事业编制122名</w:t>
      </w:r>
      <w:r>
        <w:rPr>
          <w:rFonts w:hint="eastAsia" w:hAnsi="仿宋" w:cs="Times New Roman"/>
          <w:szCs w:val="30"/>
          <w:highlight w:val="none"/>
          <w:lang w:val="en-US" w:eastAsia="zh-CN"/>
        </w:rPr>
        <w:t>。在职实有258人，其中：财政全额保障258人，财政差额补助0人</w:t>
      </w:r>
      <w:r>
        <w:rPr>
          <w:rFonts w:hint="eastAsia" w:hAnsi="仿宋"/>
          <w:kern w:val="36"/>
          <w:szCs w:val="30"/>
          <w:highlight w:val="none"/>
          <w:lang w:val="en-US" w:eastAsia="zh-CN"/>
        </w:rPr>
        <w:t>，财政专户资金、单位资金保障0人。离退休人员134人，其中：离休0人，退休134人。2022年末实有在职职工258人，退休153人。</w:t>
      </w:r>
    </w:p>
    <w:p>
      <w:pPr>
        <w:spacing w:line="590" w:lineRule="exact"/>
        <w:ind w:firstLine="630" w:firstLineChars="200"/>
        <w:rPr>
          <w:rFonts w:hint="eastAsia" w:hAnsi="仿宋"/>
          <w:kern w:val="36"/>
          <w:szCs w:val="30"/>
          <w:highlight w:val="none"/>
          <w:lang w:val="en-US" w:eastAsia="zh-CN"/>
        </w:rPr>
      </w:pPr>
      <w:r>
        <w:rPr>
          <w:rFonts w:hint="eastAsia" w:hAnsi="仿宋"/>
          <w:kern w:val="36"/>
          <w:szCs w:val="30"/>
          <w:highlight w:val="none"/>
          <w:lang w:val="en-US" w:eastAsia="zh-CN"/>
        </w:rPr>
        <w:t>5.部门中长期规划</w:t>
      </w:r>
    </w:p>
    <w:p>
      <w:pPr>
        <w:spacing w:line="590" w:lineRule="exact"/>
        <w:ind w:firstLine="630" w:firstLineChars="200"/>
        <w:rPr>
          <w:rFonts w:hint="eastAsia" w:hAnsi="仿宋"/>
          <w:kern w:val="36"/>
          <w:szCs w:val="30"/>
          <w:lang w:val="en-US" w:eastAsia="zh-CN"/>
        </w:rPr>
      </w:pPr>
      <w:r>
        <w:rPr>
          <w:rFonts w:hint="eastAsia" w:hAnsi="仿宋"/>
          <w:kern w:val="36"/>
          <w:szCs w:val="30"/>
          <w:lang w:val="en-US" w:eastAsia="zh-CN"/>
        </w:rPr>
        <w:t>“十四五”时期，市市场监督管理局在市委、市政府的领导下，在省市场监督管理局的指导下，以形成“大市场、大监管，大安全、大发展”的市场监管现代化格局为奋斗目标，促进市域社会治理现代化。通过全面总结分析国家市场监督管理领域政策要求、市委市政府区域发展战略、市市场监督管理局职能职责及“十四五”规划等内容，将市市场监督管理局中长期规划归纳为4个方面：</w:t>
      </w:r>
    </w:p>
    <w:p>
      <w:pPr>
        <w:numPr>
          <w:ilvl w:val="0"/>
          <w:numId w:val="0"/>
        </w:numPr>
        <w:spacing w:line="590" w:lineRule="exact"/>
        <w:ind w:firstLine="630" w:firstLineChars="200"/>
        <w:rPr>
          <w:rFonts w:hint="eastAsia" w:hAnsi="仿宋"/>
          <w:kern w:val="36"/>
          <w:szCs w:val="30"/>
          <w:lang w:val="en-US" w:eastAsia="zh-CN"/>
        </w:rPr>
      </w:pPr>
      <w:r>
        <w:rPr>
          <w:rFonts w:hint="eastAsia" w:ascii="仿宋" w:hAnsi="仿宋" w:eastAsia="仿宋" w:cstheme="minorBidi"/>
          <w:kern w:val="36"/>
          <w:sz w:val="30"/>
          <w:szCs w:val="30"/>
          <w:lang w:val="en-US" w:eastAsia="zh-CN" w:bidi="ar-SA"/>
        </w:rPr>
        <w:t>（1）</w:t>
      </w:r>
      <w:r>
        <w:rPr>
          <w:rFonts w:hint="eastAsia" w:hAnsi="仿宋"/>
          <w:kern w:val="36"/>
          <w:szCs w:val="30"/>
          <w:lang w:val="en-US" w:eastAsia="zh-CN"/>
        </w:rPr>
        <w:t>推进制度改革，营造宽松便捷市场准入环境。持续推进行政审批制度改革推进市场监管行政审批电子化、便利化标准化；建设高标准市场体系，强化事中事后监管和优化服务；营造宽松便捷的市场准入环境，持续改善营商环境；优化商事登记服务方式，创新审批服务方式；完善市场主体退出机制，营造便利高效营商环境。</w:t>
      </w:r>
    </w:p>
    <w:p>
      <w:pPr>
        <w:numPr>
          <w:ilvl w:val="0"/>
          <w:numId w:val="0"/>
        </w:numPr>
        <w:spacing w:line="590" w:lineRule="exact"/>
        <w:ind w:firstLine="630" w:firstLineChars="200"/>
        <w:rPr>
          <w:rFonts w:hint="eastAsia" w:hAnsi="仿宋" w:cstheme="minorBidi"/>
          <w:kern w:val="36"/>
          <w:sz w:val="30"/>
          <w:szCs w:val="30"/>
          <w:lang w:val="en-US" w:eastAsia="zh-CN" w:bidi="ar-SA"/>
        </w:rPr>
      </w:pPr>
      <w:r>
        <w:rPr>
          <w:rFonts w:hint="default" w:ascii="仿宋" w:hAnsi="仿宋" w:eastAsia="仿宋" w:cstheme="minorBidi"/>
          <w:kern w:val="36"/>
          <w:sz w:val="30"/>
          <w:szCs w:val="30"/>
          <w:lang w:val="en-US" w:eastAsia="zh-CN" w:bidi="ar-SA"/>
        </w:rPr>
        <w:t>（2）</w:t>
      </w:r>
      <w:r>
        <w:rPr>
          <w:rFonts w:hint="eastAsia" w:hAnsi="仿宋" w:cstheme="minorBidi"/>
          <w:kern w:val="36"/>
          <w:sz w:val="30"/>
          <w:szCs w:val="30"/>
          <w:lang w:val="en-US" w:eastAsia="zh-CN" w:bidi="ar-SA"/>
        </w:rPr>
        <w:t>强化执法监管，营造公平市场竞争环境。加强广告行业、网络交易监管，严厉打击侵犯知识产权和制造假冒伪劣产品的行为，强化传销综合治理；加强公平竞争审查、规范行政执法行为、完善价格监管机制、推进反垄断及反不正当竞争；强化综合执法体系建设，加强横向联合执法，建立健全跨部门、跨区域执法协作联动机制，全面推行“双随机、一公开”制度。</w:t>
      </w:r>
    </w:p>
    <w:p>
      <w:pPr>
        <w:numPr>
          <w:ilvl w:val="0"/>
          <w:numId w:val="0"/>
        </w:numPr>
        <w:spacing w:line="590" w:lineRule="exact"/>
        <w:ind w:firstLine="630" w:firstLineChars="200"/>
        <w:rPr>
          <w:rFonts w:hint="eastAsia" w:ascii="仿宋" w:hAnsi="仿宋" w:eastAsia="仿宋" w:cstheme="minorBidi"/>
          <w:kern w:val="36"/>
          <w:sz w:val="30"/>
          <w:szCs w:val="30"/>
          <w:lang w:val="en-US" w:eastAsia="zh-CN" w:bidi="ar-SA"/>
        </w:rPr>
      </w:pPr>
      <w:r>
        <w:rPr>
          <w:rFonts w:hint="eastAsia" w:ascii="仿宋" w:hAnsi="仿宋" w:eastAsia="仿宋" w:cstheme="minorBidi"/>
          <w:kern w:val="36"/>
          <w:sz w:val="30"/>
          <w:szCs w:val="30"/>
          <w:lang w:val="en-US" w:eastAsia="zh-CN" w:bidi="ar-SA"/>
        </w:rPr>
        <w:t>（3）打造安全放心的消费环境。实施“食品安全”战略，强化药品安全监管，加强工业产品、特种设备安全监督；加强消费维权体系建设，完善 12315 投诉举报平台建设，拓宽投诉举报渠道。</w:t>
      </w:r>
    </w:p>
    <w:p>
      <w:pPr>
        <w:numPr>
          <w:ilvl w:val="0"/>
          <w:numId w:val="0"/>
        </w:numPr>
        <w:spacing w:line="590" w:lineRule="exact"/>
        <w:ind w:firstLine="630" w:firstLineChars="200"/>
        <w:rPr>
          <w:rFonts w:hint="eastAsia" w:ascii="仿宋" w:hAnsi="仿宋" w:eastAsia="仿宋" w:cstheme="minorBidi"/>
          <w:kern w:val="36"/>
          <w:sz w:val="30"/>
          <w:szCs w:val="30"/>
          <w:lang w:val="en-US" w:eastAsia="zh-CN" w:bidi="ar-SA"/>
        </w:rPr>
      </w:pPr>
      <w:r>
        <w:rPr>
          <w:rFonts w:hint="eastAsia" w:ascii="仿宋" w:hAnsi="仿宋" w:eastAsia="仿宋" w:cstheme="minorBidi"/>
          <w:kern w:val="36"/>
          <w:sz w:val="30"/>
          <w:szCs w:val="30"/>
          <w:lang w:val="en-US" w:eastAsia="zh-CN" w:bidi="ar-SA"/>
        </w:rPr>
        <w:t>（4）构建现代化监管的质量体系。进一步完善标准体系，制定监管标准和规范；建立社会公共计量标准，完善计量对比工作机制，建立全市计量溯源体系；加强认证认可检验工作，完善认证认可追溯机制，探索和推进“互联网+检验检测”，加强新兴产业检验检测认证服务，提升综合检验检测能力水平；加强知识产权创造保护运用管理服务能力；加强玉溪品牌建设，培育高质量品牌，开展高端品质评价。</w:t>
      </w:r>
    </w:p>
    <w:p>
      <w:pPr>
        <w:numPr>
          <w:ilvl w:val="0"/>
          <w:numId w:val="0"/>
        </w:numPr>
        <w:spacing w:line="590" w:lineRule="exact"/>
        <w:ind w:firstLine="630" w:firstLineChars="200"/>
        <w:rPr>
          <w:rFonts w:hint="eastAsia" w:hAnsi="仿宋"/>
          <w:kern w:val="36"/>
          <w:szCs w:val="30"/>
          <w:highlight w:val="none"/>
          <w:lang w:val="en-US" w:eastAsia="zh-CN"/>
        </w:rPr>
      </w:pPr>
      <w:r>
        <w:rPr>
          <w:rFonts w:hint="eastAsia" w:hAnsi="仿宋"/>
          <w:kern w:val="36"/>
          <w:szCs w:val="30"/>
          <w:highlight w:val="none"/>
          <w:lang w:val="en-US" w:eastAsia="zh-CN"/>
        </w:rPr>
        <w:t>6.年度工作计划及重点工作任务</w:t>
      </w:r>
    </w:p>
    <w:p>
      <w:pPr>
        <w:pStyle w:val="10"/>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theme="minorBidi"/>
          <w:kern w:val="36"/>
          <w:sz w:val="30"/>
          <w:szCs w:val="30"/>
          <w:lang w:val="en-US" w:eastAsia="zh-CN" w:bidi="ar-SA"/>
        </w:rPr>
      </w:pPr>
      <w:r>
        <w:rPr>
          <w:rFonts w:hint="eastAsia" w:ascii="仿宋" w:hAnsi="仿宋" w:eastAsia="仿宋" w:cstheme="minorBidi"/>
          <w:kern w:val="36"/>
          <w:sz w:val="30"/>
          <w:szCs w:val="30"/>
          <w:lang w:val="en-US" w:eastAsia="zh-CN" w:bidi="ar-SA"/>
        </w:rPr>
        <w:t>根据</w:t>
      </w:r>
      <w:r>
        <w:rPr>
          <w:rFonts w:hint="eastAsia" w:hAnsi="仿宋" w:cstheme="minorBidi"/>
          <w:kern w:val="36"/>
          <w:sz w:val="30"/>
          <w:szCs w:val="30"/>
          <w:lang w:val="en-US" w:eastAsia="zh-CN" w:bidi="ar-SA"/>
        </w:rPr>
        <w:t>部门2022年预算公开</w:t>
      </w:r>
      <w:r>
        <w:rPr>
          <w:rFonts w:hint="eastAsia" w:ascii="仿宋" w:hAnsi="仿宋" w:eastAsia="仿宋" w:cstheme="minorBidi"/>
          <w:kern w:val="36"/>
          <w:sz w:val="30"/>
          <w:szCs w:val="30"/>
          <w:lang w:val="en-US" w:eastAsia="zh-CN" w:bidi="ar-SA"/>
        </w:rPr>
        <w:t>，结合归纳总结的部门“十四五”规划和资金支出结构，梳理出市市场监督管理局2022年度工作计划及重点工作任务为：</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90" w:lineRule="exact"/>
        <w:textAlignment w:val="auto"/>
        <w:rPr>
          <w:rFonts w:hint="eastAsia" w:ascii="仿宋" w:hAnsi="仿宋" w:eastAsia="仿宋" w:cstheme="minorBidi"/>
          <w:kern w:val="36"/>
          <w:sz w:val="30"/>
          <w:szCs w:val="30"/>
          <w:lang w:val="en-US" w:eastAsia="zh-CN" w:bidi="ar-SA"/>
        </w:rPr>
      </w:pPr>
      <w:r>
        <w:rPr>
          <w:rFonts w:hint="eastAsia" w:ascii="仿宋" w:hAnsi="仿宋" w:eastAsia="仿宋" w:cstheme="minorBidi"/>
          <w:kern w:val="36"/>
          <w:sz w:val="30"/>
          <w:szCs w:val="30"/>
          <w:lang w:val="en-US" w:eastAsia="zh-CN" w:bidi="ar-SA"/>
        </w:rPr>
        <w:t>推进制度改革，营造宽松便捷市场准入环境。持续深化商事制度改革，加大电子营业执照推广、应用力度</w:t>
      </w:r>
      <w:r>
        <w:rPr>
          <w:rFonts w:hint="eastAsia" w:hAnsi="仿宋" w:cstheme="minorBidi"/>
          <w:kern w:val="36"/>
          <w:sz w:val="30"/>
          <w:szCs w:val="30"/>
          <w:lang w:val="en-US" w:eastAsia="zh-CN" w:bidi="ar-SA"/>
        </w:rPr>
        <w:t>；</w:t>
      </w:r>
      <w:r>
        <w:rPr>
          <w:rFonts w:hint="default" w:ascii="仿宋" w:hAnsi="仿宋" w:eastAsia="仿宋" w:cstheme="minorBidi"/>
          <w:kern w:val="36"/>
          <w:sz w:val="30"/>
          <w:szCs w:val="30"/>
          <w:lang w:val="en-US" w:eastAsia="zh-CN" w:bidi="ar-SA"/>
        </w:rPr>
        <w:t>建立健全登记注册、行政审批、行业主管相互衔接的市场监管机制</w:t>
      </w:r>
      <w:r>
        <w:rPr>
          <w:rFonts w:hint="eastAsia" w:hAnsi="仿宋" w:cstheme="minorBidi"/>
          <w:kern w:val="36"/>
          <w:sz w:val="30"/>
          <w:szCs w:val="30"/>
          <w:lang w:val="en-US" w:eastAsia="zh-CN" w:bidi="ar-SA"/>
        </w:rPr>
        <w: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590" w:lineRule="exact"/>
        <w:textAlignment w:val="auto"/>
        <w:rPr>
          <w:rFonts w:hint="eastAsia" w:ascii="仿宋" w:hAnsi="仿宋" w:eastAsia="仿宋" w:cstheme="minorBidi"/>
          <w:kern w:val="36"/>
          <w:sz w:val="30"/>
          <w:szCs w:val="30"/>
          <w:lang w:val="en-US" w:eastAsia="zh-CN" w:bidi="ar-SA"/>
        </w:rPr>
      </w:pPr>
      <w:r>
        <w:rPr>
          <w:rFonts w:hint="eastAsia" w:ascii="仿宋" w:hAnsi="仿宋" w:eastAsia="仿宋" w:cstheme="minorBidi"/>
          <w:kern w:val="36"/>
          <w:sz w:val="30"/>
          <w:szCs w:val="30"/>
          <w:lang w:val="en-US" w:eastAsia="zh-CN" w:bidi="ar-SA"/>
        </w:rPr>
        <w:t>强化执法监管，营造公平市场竞争环境。加大稽查执法力度</w:t>
      </w:r>
      <w:r>
        <w:rPr>
          <w:rFonts w:hint="eastAsia" w:hAnsi="仿宋" w:cstheme="minorBidi"/>
          <w:kern w:val="36"/>
          <w:sz w:val="30"/>
          <w:szCs w:val="30"/>
          <w:lang w:val="en-US" w:eastAsia="zh-CN" w:bidi="ar-SA"/>
        </w:rPr>
        <w:t>，</w:t>
      </w:r>
      <w:r>
        <w:rPr>
          <w:rFonts w:hint="eastAsia" w:ascii="仿宋" w:hAnsi="仿宋" w:eastAsia="仿宋" w:cstheme="minorBidi"/>
          <w:kern w:val="36"/>
          <w:sz w:val="30"/>
          <w:szCs w:val="30"/>
          <w:lang w:val="en-US" w:eastAsia="zh-CN" w:bidi="ar-SA"/>
        </w:rPr>
        <w:t>围绕市民舌尖上的安全，持续开展婴幼儿食品、校园食品、保健食品网络配餐等领域食品安全专项整治，加大违法案件查办。</w:t>
      </w:r>
    </w:p>
    <w:p>
      <w:pPr>
        <w:pStyle w:val="10"/>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 w:hAnsi="仿宋" w:eastAsia="仿宋" w:cstheme="minorBidi"/>
          <w:kern w:val="36"/>
          <w:sz w:val="30"/>
          <w:szCs w:val="30"/>
          <w:lang w:val="en-US" w:eastAsia="zh-CN" w:bidi="ar-SA"/>
        </w:rPr>
      </w:pPr>
      <w:r>
        <w:rPr>
          <w:rFonts w:hint="eastAsia" w:ascii="仿宋" w:hAnsi="仿宋" w:eastAsia="仿宋" w:cstheme="minorBidi"/>
          <w:kern w:val="36"/>
          <w:sz w:val="30"/>
          <w:szCs w:val="30"/>
          <w:lang w:val="en-US" w:eastAsia="zh-CN" w:bidi="ar-SA"/>
        </w:rPr>
        <w:t>（3）打造安全放心的消费环境。深入实施食品安全战略，完善食品抽检制度，完成</w:t>
      </w:r>
      <w:r>
        <w:rPr>
          <w:rFonts w:hint="eastAsia" w:hAnsi="仿宋" w:cstheme="minorBidi"/>
          <w:kern w:val="36"/>
          <w:sz w:val="30"/>
          <w:szCs w:val="30"/>
          <w:lang w:val="en-US" w:eastAsia="zh-CN" w:bidi="ar-SA"/>
        </w:rPr>
        <w:t>食用农产品</w:t>
      </w:r>
      <w:r>
        <w:rPr>
          <w:rFonts w:hint="eastAsia" w:ascii="仿宋" w:hAnsi="仿宋" w:eastAsia="仿宋" w:cstheme="minorBidi"/>
          <w:kern w:val="36"/>
          <w:sz w:val="30"/>
          <w:szCs w:val="30"/>
          <w:lang w:val="en-US" w:eastAsia="zh-CN" w:bidi="ar-SA"/>
        </w:rPr>
        <w:t>抽检任务</w:t>
      </w:r>
      <w:r>
        <w:rPr>
          <w:rFonts w:hint="eastAsia" w:hAnsi="仿宋" w:cstheme="minorBidi"/>
          <w:kern w:val="36"/>
          <w:sz w:val="30"/>
          <w:szCs w:val="30"/>
          <w:lang w:val="en-US" w:eastAsia="zh-CN" w:bidi="ar-SA"/>
        </w:rPr>
        <w:t>5,040</w:t>
      </w:r>
      <w:r>
        <w:rPr>
          <w:rFonts w:hint="eastAsia" w:ascii="仿宋" w:hAnsi="仿宋" w:eastAsia="仿宋" w:cstheme="minorBidi"/>
          <w:kern w:val="36"/>
          <w:sz w:val="30"/>
          <w:szCs w:val="30"/>
          <w:lang w:val="en-US" w:eastAsia="zh-CN" w:bidi="ar-SA"/>
        </w:rPr>
        <w:t>批次</w:t>
      </w:r>
      <w:r>
        <w:rPr>
          <w:rFonts w:hint="eastAsia" w:hAnsi="仿宋" w:cstheme="minorBidi"/>
          <w:kern w:val="36"/>
          <w:sz w:val="30"/>
          <w:szCs w:val="30"/>
          <w:lang w:val="en-US" w:eastAsia="zh-CN" w:bidi="ar-SA"/>
        </w:rPr>
        <w:t>：</w:t>
      </w:r>
      <w:r>
        <w:rPr>
          <w:rFonts w:hint="eastAsia" w:ascii="仿宋" w:hAnsi="仿宋" w:eastAsia="仿宋" w:cstheme="minorBidi"/>
          <w:kern w:val="36"/>
          <w:sz w:val="30"/>
          <w:szCs w:val="30"/>
          <w:lang w:val="en-US" w:eastAsia="zh-CN" w:bidi="ar-SA"/>
        </w:rPr>
        <w:t>强化药品安全监管，开展药品、医疗器械和化妆品流通领域监督抽查飞行检查，完成药品抽检</w:t>
      </w:r>
      <w:r>
        <w:rPr>
          <w:rFonts w:hint="eastAsia" w:hAnsi="仿宋" w:cstheme="minorBidi"/>
          <w:kern w:val="36"/>
          <w:sz w:val="30"/>
          <w:szCs w:val="30"/>
          <w:lang w:val="en-US" w:eastAsia="zh-CN" w:bidi="ar-SA"/>
        </w:rPr>
        <w:t>300</w:t>
      </w:r>
      <w:r>
        <w:rPr>
          <w:rFonts w:hint="eastAsia" w:ascii="仿宋" w:hAnsi="仿宋" w:eastAsia="仿宋" w:cstheme="minorBidi"/>
          <w:kern w:val="36"/>
          <w:sz w:val="30"/>
          <w:szCs w:val="30"/>
          <w:lang w:val="en-US" w:eastAsia="zh-CN" w:bidi="ar-SA"/>
        </w:rPr>
        <w:t>批次，化妆品抽检任务</w:t>
      </w:r>
      <w:r>
        <w:rPr>
          <w:rFonts w:hint="eastAsia" w:hAnsi="仿宋" w:cstheme="minorBidi"/>
          <w:kern w:val="36"/>
          <w:sz w:val="30"/>
          <w:szCs w:val="30"/>
          <w:lang w:val="en-US" w:eastAsia="zh-CN" w:bidi="ar-SA"/>
        </w:rPr>
        <w:t>7</w:t>
      </w:r>
      <w:r>
        <w:rPr>
          <w:rFonts w:hint="eastAsia" w:ascii="仿宋" w:hAnsi="仿宋" w:eastAsia="仿宋" w:cstheme="minorBidi"/>
          <w:kern w:val="36"/>
          <w:sz w:val="30"/>
          <w:szCs w:val="30"/>
          <w:lang w:val="en-US" w:eastAsia="zh-CN" w:bidi="ar-SA"/>
        </w:rPr>
        <w:t>0批次</w:t>
      </w:r>
      <w:r>
        <w:rPr>
          <w:rFonts w:hint="eastAsia" w:hAnsi="仿宋" w:cstheme="minorBidi"/>
          <w:kern w:val="36"/>
          <w:sz w:val="30"/>
          <w:szCs w:val="30"/>
          <w:lang w:val="en-US" w:eastAsia="zh-CN" w:bidi="ar-SA"/>
        </w:rPr>
        <w:t>，</w:t>
      </w:r>
      <w:r>
        <w:rPr>
          <w:rFonts w:hint="eastAsia" w:ascii="仿宋" w:hAnsi="仿宋" w:eastAsia="仿宋" w:cstheme="minorBidi"/>
          <w:kern w:val="36"/>
          <w:sz w:val="30"/>
          <w:szCs w:val="30"/>
          <w:highlight w:val="none"/>
          <w:lang w:val="en-US" w:eastAsia="zh-CN" w:bidi="ar-SA"/>
        </w:rPr>
        <w:t>医疗器械抽检</w:t>
      </w:r>
      <w:r>
        <w:rPr>
          <w:rFonts w:hint="eastAsia" w:hAnsi="仿宋" w:cstheme="minorBidi"/>
          <w:kern w:val="36"/>
          <w:sz w:val="30"/>
          <w:szCs w:val="30"/>
          <w:highlight w:val="none"/>
          <w:lang w:val="en-US" w:eastAsia="zh-CN" w:bidi="ar-SA"/>
        </w:rPr>
        <w:t>30</w:t>
      </w:r>
      <w:r>
        <w:rPr>
          <w:rFonts w:hint="eastAsia" w:ascii="仿宋" w:hAnsi="仿宋" w:eastAsia="仿宋" w:cstheme="minorBidi"/>
          <w:kern w:val="36"/>
          <w:sz w:val="30"/>
          <w:szCs w:val="30"/>
          <w:highlight w:val="none"/>
          <w:lang w:val="en-US" w:eastAsia="zh-CN" w:bidi="ar-SA"/>
        </w:rPr>
        <w:t>批次。</w:t>
      </w:r>
      <w:r>
        <w:rPr>
          <w:rFonts w:hint="eastAsia" w:ascii="仿宋" w:hAnsi="仿宋" w:eastAsia="仿宋" w:cstheme="minorBidi"/>
          <w:kern w:val="36"/>
          <w:sz w:val="30"/>
          <w:szCs w:val="30"/>
          <w:lang w:val="en-US" w:eastAsia="zh-CN" w:bidi="ar-SA"/>
        </w:rPr>
        <w:t>加强特种设备安全监管。加强工业产品质量安全监管，跟踪监测和风险研判，完成产品质量监督抽查</w:t>
      </w:r>
      <w:r>
        <w:rPr>
          <w:rFonts w:hint="eastAsia" w:hAnsi="仿宋" w:cstheme="minorBidi"/>
          <w:kern w:val="36"/>
          <w:sz w:val="30"/>
          <w:szCs w:val="30"/>
          <w:lang w:val="en-US" w:eastAsia="zh-CN" w:bidi="ar-SA"/>
        </w:rPr>
        <w:t>240</w:t>
      </w:r>
      <w:r>
        <w:rPr>
          <w:rFonts w:hint="eastAsia" w:ascii="仿宋" w:hAnsi="仿宋" w:eastAsia="仿宋" w:cstheme="minorBidi"/>
          <w:kern w:val="36"/>
          <w:sz w:val="30"/>
          <w:szCs w:val="30"/>
          <w:lang w:val="en-US" w:eastAsia="zh-CN" w:bidi="ar-SA"/>
        </w:rPr>
        <w:t>批次。</w:t>
      </w:r>
    </w:p>
    <w:p>
      <w:pPr>
        <w:pStyle w:val="1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仿宋" w:hAnsi="仿宋" w:eastAsia="仿宋" w:cstheme="minorBidi"/>
          <w:kern w:val="36"/>
          <w:sz w:val="30"/>
          <w:szCs w:val="30"/>
          <w:lang w:val="en-US" w:eastAsia="zh-CN" w:bidi="ar-SA"/>
        </w:rPr>
      </w:pPr>
      <w:r>
        <w:rPr>
          <w:rFonts w:hint="eastAsia" w:ascii="仿宋" w:hAnsi="仿宋" w:eastAsia="仿宋" w:cstheme="minorBidi"/>
          <w:kern w:val="36"/>
          <w:sz w:val="30"/>
          <w:szCs w:val="30"/>
          <w:lang w:val="en-US" w:eastAsia="zh-CN" w:bidi="ar-SA"/>
        </w:rPr>
        <w:t>（4）构建现代化监管的质量体系。</w:t>
      </w:r>
      <w:r>
        <w:rPr>
          <w:rFonts w:hint="default" w:ascii="仿宋" w:hAnsi="仿宋" w:eastAsia="仿宋" w:cstheme="minorBidi"/>
          <w:kern w:val="36"/>
          <w:sz w:val="30"/>
          <w:szCs w:val="30"/>
          <w:lang w:val="en-US" w:eastAsia="zh-CN" w:bidi="ar-SA"/>
        </w:rPr>
        <w:t>制定玉溪市地方标准，规范玉溪市地方标准的制定和实施</w:t>
      </w:r>
      <w:r>
        <w:rPr>
          <w:rFonts w:hint="eastAsia" w:ascii="仿宋" w:hAnsi="仿宋" w:eastAsia="仿宋" w:cstheme="minorBidi"/>
          <w:kern w:val="36"/>
          <w:sz w:val="30"/>
          <w:szCs w:val="30"/>
          <w:lang w:val="en-US" w:eastAsia="zh-CN" w:bidi="ar-SA"/>
        </w:rPr>
        <w:t>；</w:t>
      </w:r>
      <w:r>
        <w:rPr>
          <w:rFonts w:hint="eastAsia" w:hAnsi="仿宋" w:cstheme="minorBidi"/>
          <w:kern w:val="36"/>
          <w:sz w:val="30"/>
          <w:szCs w:val="30"/>
          <w:lang w:val="en-US" w:eastAsia="zh-CN" w:bidi="ar-SA"/>
        </w:rPr>
        <w:t>完</w:t>
      </w:r>
      <w:r>
        <w:rPr>
          <w:rFonts w:hint="default" w:ascii="仿宋" w:hAnsi="仿宋" w:eastAsia="仿宋" w:cstheme="minorBidi"/>
          <w:kern w:val="36"/>
          <w:sz w:val="30"/>
          <w:szCs w:val="30"/>
          <w:lang w:val="en-US" w:eastAsia="zh-CN" w:bidi="ar-SA"/>
        </w:rPr>
        <w:t>善认证认可追溯机制，探索和推进“互联网+检验检测”</w:t>
      </w:r>
      <w:r>
        <w:rPr>
          <w:rFonts w:hint="eastAsia" w:hAnsi="仿宋" w:cstheme="minorBidi"/>
          <w:kern w:val="36"/>
          <w:sz w:val="30"/>
          <w:szCs w:val="30"/>
          <w:lang w:val="en-US" w:eastAsia="zh-CN" w:bidi="ar-SA"/>
        </w:rPr>
        <w:t>。</w:t>
      </w:r>
    </w:p>
    <w:p>
      <w:pPr>
        <w:spacing w:line="590" w:lineRule="exact"/>
        <w:ind w:firstLine="654" w:firstLineChars="200"/>
        <w:outlineLvl w:val="1"/>
        <w:rPr>
          <w:rFonts w:ascii="楷体" w:hAnsi="楷体" w:eastAsia="楷体"/>
          <w:spacing w:val="6"/>
          <w:szCs w:val="30"/>
        </w:rPr>
      </w:pPr>
      <w:bookmarkStart w:id="6" w:name="_Toc17650"/>
      <w:r>
        <w:rPr>
          <w:rFonts w:hint="eastAsia" w:ascii="楷体" w:hAnsi="楷体" w:eastAsia="楷体"/>
          <w:spacing w:val="6"/>
          <w:szCs w:val="30"/>
        </w:rPr>
        <w:t>（二）部门预算批复及资金安排情况</w:t>
      </w:r>
      <w:bookmarkEnd w:id="5"/>
      <w:bookmarkEnd w:id="6"/>
    </w:p>
    <w:p>
      <w:pPr>
        <w:numPr>
          <w:ilvl w:val="0"/>
          <w:numId w:val="2"/>
        </w:numPr>
        <w:spacing w:line="590" w:lineRule="exact"/>
        <w:rPr>
          <w:rFonts w:hint="eastAsia" w:hAnsi="仿宋"/>
          <w:kern w:val="36"/>
          <w:szCs w:val="30"/>
          <w:lang w:val="en-US" w:eastAsia="zh-CN"/>
        </w:rPr>
      </w:pPr>
      <w:r>
        <w:rPr>
          <w:rFonts w:hint="eastAsia" w:hAnsi="仿宋"/>
          <w:kern w:val="36"/>
          <w:szCs w:val="30"/>
          <w:lang w:val="en-US" w:eastAsia="zh-CN"/>
        </w:rPr>
        <w:t>部门预算批复和整体收支</w:t>
      </w:r>
    </w:p>
    <w:p>
      <w:pPr>
        <w:spacing w:before="0" w:after="0" w:line="579" w:lineRule="exact"/>
        <w:ind w:left="0" w:right="0" w:firstLine="630" w:firstLineChars="200"/>
        <w:jc w:val="both"/>
      </w:pPr>
      <w:r>
        <w:rPr>
          <w:rFonts w:ascii="仿宋" w:hAnsi="仿宋" w:eastAsia="仿宋" w:cs="仿宋"/>
          <w:i w:val="0"/>
          <w:strike w:val="0"/>
          <w:color w:val="000000"/>
          <w:sz w:val="30"/>
          <w:u w:val="none"/>
        </w:rPr>
        <w:t>（1）部门</w:t>
      </w:r>
      <w:r>
        <w:rPr>
          <w:rFonts w:hint="eastAsia" w:hAnsi="仿宋" w:cs="仿宋"/>
          <w:i w:val="0"/>
          <w:strike w:val="0"/>
          <w:color w:val="000000"/>
          <w:sz w:val="30"/>
          <w:u w:val="none"/>
          <w:lang w:val="en-US" w:eastAsia="zh-CN"/>
        </w:rPr>
        <w:t>年初</w:t>
      </w:r>
      <w:r>
        <w:rPr>
          <w:rFonts w:ascii="仿宋" w:hAnsi="仿宋" w:eastAsia="仿宋" w:cs="仿宋"/>
          <w:i w:val="0"/>
          <w:strike w:val="0"/>
          <w:color w:val="000000"/>
          <w:sz w:val="30"/>
          <w:u w:val="none"/>
        </w:rPr>
        <w:t>预算批复</w:t>
      </w:r>
    </w:p>
    <w:p>
      <w:pPr>
        <w:spacing w:before="0" w:after="0" w:line="579" w:lineRule="exact"/>
        <w:ind w:left="0" w:right="0" w:firstLine="630" w:firstLineChars="200"/>
        <w:jc w:val="both"/>
      </w:pPr>
      <w:r>
        <w:rPr>
          <w:rFonts w:ascii="仿宋" w:hAnsi="仿宋" w:eastAsia="仿宋" w:cs="仿宋"/>
          <w:i w:val="0"/>
          <w:strike w:val="0"/>
          <w:color w:val="000000"/>
          <w:sz w:val="30"/>
          <w:u w:val="none"/>
        </w:rPr>
        <w:t>玉溪市财政局以《</w:t>
      </w:r>
      <w:r>
        <w:rPr>
          <w:rFonts w:hint="eastAsia" w:ascii="仿宋" w:hAnsi="仿宋" w:eastAsia="仿宋" w:cs="仿宋"/>
          <w:i w:val="0"/>
          <w:strike w:val="0"/>
          <w:color w:val="000000"/>
          <w:sz w:val="30"/>
          <w:u w:val="none"/>
        </w:rPr>
        <w:t>玉溪市财政局关于批复2022年部门预算的通知</w:t>
      </w:r>
      <w:r>
        <w:rPr>
          <w:rFonts w:ascii="仿宋" w:hAnsi="仿宋" w:eastAsia="仿宋" w:cs="仿宋"/>
          <w:i w:val="0"/>
          <w:strike w:val="0"/>
          <w:color w:val="000000"/>
          <w:sz w:val="30"/>
          <w:u w:val="none"/>
        </w:rPr>
        <w:t>》</w:t>
      </w:r>
      <w:r>
        <w:rPr>
          <w:rFonts w:hint="eastAsia" w:ascii="仿宋" w:hAnsi="仿宋" w:eastAsia="仿宋" w:cs="仿宋"/>
          <w:i w:val="0"/>
          <w:strike w:val="0"/>
          <w:color w:val="000000"/>
          <w:sz w:val="30"/>
          <w:u w:val="none"/>
        </w:rPr>
        <w:t>（玉财预〔2022〕1号）</w:t>
      </w:r>
      <w:r>
        <w:rPr>
          <w:rFonts w:ascii="仿宋" w:hAnsi="仿宋" w:eastAsia="仿宋" w:cs="仿宋"/>
          <w:i w:val="0"/>
          <w:strike w:val="0"/>
          <w:color w:val="000000"/>
          <w:sz w:val="30"/>
          <w:u w:val="none"/>
        </w:rPr>
        <w:t>对市</w:t>
      </w:r>
      <w:r>
        <w:rPr>
          <w:rFonts w:hint="eastAsia" w:hAnsi="仿宋" w:cs="仿宋"/>
          <w:i w:val="0"/>
          <w:strike w:val="0"/>
          <w:color w:val="000000"/>
          <w:sz w:val="30"/>
          <w:u w:val="none"/>
          <w:lang w:val="en-US" w:eastAsia="zh-CN"/>
        </w:rPr>
        <w:t>市场监督管理局</w:t>
      </w:r>
      <w:r>
        <w:rPr>
          <w:rFonts w:ascii="仿宋" w:hAnsi="仿宋" w:eastAsia="仿宋" w:cs="仿宋"/>
          <w:i w:val="0"/>
          <w:strike w:val="0"/>
          <w:color w:val="000000"/>
          <w:sz w:val="30"/>
          <w:u w:val="none"/>
        </w:rPr>
        <w:t>预算进行批复，具体情况如下： </w:t>
      </w:r>
    </w:p>
    <w:p>
      <w:pPr>
        <w:spacing w:before="0" w:after="0" w:line="579" w:lineRule="exact"/>
        <w:ind w:left="0" w:right="0" w:firstLine="630" w:firstLineChars="200"/>
        <w:jc w:val="both"/>
      </w:pPr>
      <w:r>
        <w:rPr>
          <w:rFonts w:ascii="仿宋" w:hAnsi="仿宋" w:eastAsia="仿宋" w:cs="仿宋"/>
          <w:i w:val="0"/>
          <w:strike w:val="0"/>
          <w:color w:val="000000"/>
          <w:sz w:val="30"/>
          <w:u w:val="none"/>
        </w:rPr>
        <w:t>核定部门</w:t>
      </w:r>
      <w:r>
        <w:rPr>
          <w:rFonts w:hint="eastAsia" w:ascii="仿宋" w:hAnsi="仿宋" w:eastAsia="仿宋" w:cs="仿宋"/>
          <w:i w:val="0"/>
          <w:strike w:val="0"/>
          <w:color w:val="000000"/>
          <w:sz w:val="30"/>
          <w:u w:val="none"/>
        </w:rPr>
        <w:t>2022年财政拨款收入8</w:t>
      </w:r>
      <w:r>
        <w:rPr>
          <w:rFonts w:hint="eastAsia" w:hAnsi="仿宋" w:cs="仿宋"/>
          <w:i w:val="0"/>
          <w:strike w:val="0"/>
          <w:color w:val="000000"/>
          <w:sz w:val="30"/>
          <w:u w:val="none"/>
          <w:lang w:val="en-US" w:eastAsia="zh-CN"/>
        </w:rPr>
        <w:t>,</w:t>
      </w:r>
      <w:r>
        <w:rPr>
          <w:rFonts w:hint="eastAsia" w:ascii="仿宋" w:hAnsi="仿宋" w:eastAsia="仿宋" w:cs="仿宋"/>
          <w:i w:val="0"/>
          <w:strike w:val="0"/>
          <w:color w:val="000000"/>
          <w:sz w:val="30"/>
          <w:u w:val="none"/>
        </w:rPr>
        <w:t>413.50万元，其中</w:t>
      </w:r>
      <w:r>
        <w:rPr>
          <w:rFonts w:hint="eastAsia" w:hAnsi="仿宋" w:cs="仿宋"/>
          <w:i w:val="0"/>
          <w:strike w:val="0"/>
          <w:color w:val="000000"/>
          <w:sz w:val="30"/>
          <w:u w:val="none"/>
          <w:lang w:eastAsia="zh-CN"/>
        </w:rPr>
        <w:t>：</w:t>
      </w:r>
      <w:r>
        <w:rPr>
          <w:rFonts w:hint="eastAsia" w:ascii="仿宋" w:hAnsi="仿宋" w:eastAsia="仿宋" w:cs="仿宋"/>
          <w:i w:val="0"/>
          <w:strike w:val="0"/>
          <w:color w:val="000000"/>
          <w:sz w:val="30"/>
          <w:u w:val="none"/>
        </w:rPr>
        <w:t>一般公共预算本级财力经费拨款7</w:t>
      </w:r>
      <w:r>
        <w:rPr>
          <w:rFonts w:hint="eastAsia" w:hAnsi="仿宋" w:cs="仿宋"/>
          <w:i w:val="0"/>
          <w:strike w:val="0"/>
          <w:color w:val="000000"/>
          <w:sz w:val="30"/>
          <w:u w:val="none"/>
          <w:lang w:val="en-US" w:eastAsia="zh-CN"/>
        </w:rPr>
        <w:t>,</w:t>
      </w:r>
      <w:r>
        <w:rPr>
          <w:rFonts w:hint="eastAsia" w:ascii="仿宋" w:hAnsi="仿宋" w:eastAsia="仿宋" w:cs="仿宋"/>
          <w:i w:val="0"/>
          <w:strike w:val="0"/>
          <w:color w:val="000000"/>
          <w:sz w:val="30"/>
          <w:u w:val="none"/>
        </w:rPr>
        <w:t>381.89万元</w:t>
      </w:r>
      <w:r>
        <w:rPr>
          <w:rFonts w:hint="eastAsia" w:hAnsi="仿宋" w:cs="仿宋"/>
          <w:i w:val="0"/>
          <w:strike w:val="0"/>
          <w:color w:val="000000"/>
          <w:sz w:val="30"/>
          <w:u w:val="none"/>
          <w:lang w:eastAsia="zh-CN"/>
        </w:rPr>
        <w:t>：</w:t>
      </w:r>
      <w:r>
        <w:rPr>
          <w:rFonts w:hint="eastAsia" w:ascii="仿宋" w:hAnsi="仿宋" w:eastAsia="仿宋" w:cs="仿宋"/>
          <w:i w:val="0"/>
          <w:strike w:val="0"/>
          <w:color w:val="000000"/>
          <w:sz w:val="30"/>
          <w:u w:val="none"/>
        </w:rPr>
        <w:t>非税收入安排的成本性支出拨款331.61万元</w:t>
      </w:r>
      <w:r>
        <w:rPr>
          <w:rFonts w:hint="eastAsia" w:hAnsi="仿宋" w:cs="仿宋"/>
          <w:i w:val="0"/>
          <w:strike w:val="0"/>
          <w:color w:val="000000"/>
          <w:sz w:val="30"/>
          <w:u w:val="none"/>
          <w:lang w:eastAsia="zh-CN"/>
        </w:rPr>
        <w:t>；</w:t>
      </w:r>
      <w:r>
        <w:rPr>
          <w:rFonts w:hint="eastAsia" w:ascii="仿宋" w:hAnsi="仿宋" w:eastAsia="仿宋" w:cs="仿宋"/>
          <w:i w:val="0"/>
          <w:strike w:val="0"/>
          <w:color w:val="000000"/>
          <w:sz w:val="30"/>
          <w:u w:val="none"/>
        </w:rPr>
        <w:t>政府性基金拨款0.00万元</w:t>
      </w:r>
      <w:r>
        <w:rPr>
          <w:rFonts w:hint="eastAsia" w:hAnsi="仿宋" w:cs="仿宋"/>
          <w:i w:val="0"/>
          <w:strike w:val="0"/>
          <w:color w:val="000000"/>
          <w:sz w:val="30"/>
          <w:u w:val="none"/>
          <w:lang w:eastAsia="zh-CN"/>
        </w:rPr>
        <w:t>；</w:t>
      </w:r>
      <w:r>
        <w:rPr>
          <w:rFonts w:hint="eastAsia" w:ascii="仿宋" w:hAnsi="仿宋" w:eastAsia="仿宋" w:cs="仿宋"/>
          <w:i w:val="0"/>
          <w:strike w:val="0"/>
          <w:color w:val="000000"/>
          <w:sz w:val="30"/>
          <w:u w:val="none"/>
        </w:rPr>
        <w:t xml:space="preserve"> 财政专户管理资金0.00万元</w:t>
      </w:r>
      <w:r>
        <w:rPr>
          <w:rFonts w:hint="eastAsia" w:hAnsi="仿宋" w:cs="仿宋"/>
          <w:i w:val="0"/>
          <w:strike w:val="0"/>
          <w:color w:val="000000"/>
          <w:sz w:val="30"/>
          <w:u w:val="none"/>
          <w:lang w:eastAsia="zh-CN"/>
        </w:rPr>
        <w:t>；</w:t>
      </w:r>
      <w:r>
        <w:rPr>
          <w:rFonts w:hint="eastAsia" w:ascii="仿宋" w:hAnsi="仿宋" w:eastAsia="仿宋" w:cs="仿宋"/>
          <w:i w:val="0"/>
          <w:strike w:val="0"/>
          <w:color w:val="000000"/>
          <w:sz w:val="30"/>
          <w:u w:val="none"/>
        </w:rPr>
        <w:t>自有资金700.00万元。</w:t>
      </w:r>
      <w:r>
        <w:rPr>
          <w:rFonts w:ascii="仿宋" w:hAnsi="仿宋" w:eastAsia="仿宋" w:cs="仿宋"/>
          <w:i w:val="0"/>
          <w:strike w:val="0"/>
          <w:color w:val="000000"/>
          <w:sz w:val="30"/>
          <w:u w:val="none"/>
        </w:rPr>
        <w:t>具体收支预算收支情况见表2。</w:t>
      </w:r>
    </w:p>
    <w:p>
      <w:pPr>
        <w:spacing w:before="0" w:after="0" w:line="579" w:lineRule="exact"/>
        <w:ind w:left="0" w:right="0" w:firstLine="510" w:firstLineChars="200"/>
        <w:jc w:val="center"/>
        <w:rPr>
          <w:rFonts w:ascii="黑体" w:hAnsi="黑体" w:eastAsia="黑体" w:cs="黑体"/>
          <w:b w:val="0"/>
          <w:i w:val="0"/>
          <w:strike w:val="0"/>
          <w:color w:val="000000"/>
          <w:sz w:val="24"/>
          <w:u w:val="none"/>
        </w:rPr>
      </w:pPr>
      <w:r>
        <w:rPr>
          <w:rFonts w:ascii="黑体" w:hAnsi="黑体" w:eastAsia="黑体" w:cs="黑体"/>
          <w:b w:val="0"/>
          <w:i w:val="0"/>
          <w:strike w:val="0"/>
          <w:color w:val="000000"/>
          <w:sz w:val="24"/>
          <w:u w:val="none"/>
        </w:rPr>
        <w:t>表2：部门202</w:t>
      </w:r>
      <w:r>
        <w:rPr>
          <w:rFonts w:hint="eastAsia" w:ascii="黑体" w:hAnsi="黑体" w:eastAsia="黑体" w:cs="黑体"/>
          <w:b w:val="0"/>
          <w:i w:val="0"/>
          <w:strike w:val="0"/>
          <w:color w:val="000000"/>
          <w:sz w:val="24"/>
          <w:u w:val="none"/>
          <w:lang w:val="en-US" w:eastAsia="zh-CN"/>
        </w:rPr>
        <w:t>2</w:t>
      </w:r>
      <w:r>
        <w:rPr>
          <w:rFonts w:ascii="黑体" w:hAnsi="黑体" w:eastAsia="黑体" w:cs="黑体"/>
          <w:b w:val="0"/>
          <w:i w:val="0"/>
          <w:strike w:val="0"/>
          <w:color w:val="000000"/>
          <w:sz w:val="24"/>
          <w:u w:val="none"/>
        </w:rPr>
        <w:t>年收支预算总表</w:t>
      </w:r>
    </w:p>
    <w:p>
      <w:pPr>
        <w:spacing w:before="0" w:after="0" w:line="579" w:lineRule="exact"/>
        <w:ind w:left="0" w:right="0" w:firstLine="510" w:firstLineChars="200"/>
        <w:jc w:val="right"/>
        <w:rPr>
          <w:rFonts w:ascii="黑体" w:hAnsi="黑体" w:eastAsia="黑体" w:cs="黑体"/>
          <w:b w:val="0"/>
          <w:i w:val="0"/>
          <w:strike w:val="0"/>
          <w:color w:val="000000"/>
          <w:sz w:val="24"/>
          <w:u w:val="none"/>
        </w:rPr>
      </w:pPr>
      <w:r>
        <w:rPr>
          <w:rFonts w:ascii="黑体" w:hAnsi="黑体" w:eastAsia="黑体" w:cs="黑体"/>
          <w:b w:val="0"/>
          <w:i w:val="0"/>
          <w:strike w:val="0"/>
          <w:color w:val="000000"/>
          <w:sz w:val="24"/>
          <w:u w:val="none"/>
        </w:rPr>
        <w:t>单位：万元</w:t>
      </w:r>
    </w:p>
    <w:tbl>
      <w:tblPr>
        <w:tblStyle w:val="20"/>
        <w:tblW w:w="91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8"/>
        <w:gridCol w:w="2085"/>
        <w:gridCol w:w="2843"/>
        <w:gridCol w:w="1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r>
              <w:rPr>
                <w:rFonts w:hint="eastAsia" w:hAnsi="仿宋" w:cs="仿宋"/>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按资金来源</w:t>
            </w:r>
            <w:r>
              <w:rPr>
                <w:rFonts w:hint="eastAsia" w:hAnsi="仿宋" w:cs="仿宋"/>
                <w:b/>
                <w:bCs/>
                <w:i w:val="0"/>
                <w:iCs w:val="0"/>
                <w:color w:val="000000"/>
                <w:kern w:val="0"/>
                <w:sz w:val="21"/>
                <w:szCs w:val="21"/>
                <w:u w:val="none"/>
                <w:lang w:val="en-US" w:eastAsia="zh-CN" w:bidi="ar"/>
              </w:rPr>
              <w:t>）</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2022年预算</w:t>
            </w:r>
          </w:p>
        </w:tc>
        <w:tc>
          <w:tcPr>
            <w:tcW w:w="2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r>
              <w:rPr>
                <w:rFonts w:hint="eastAsia" w:hAnsi="仿宋" w:cs="仿宋"/>
                <w:b/>
                <w:bCs/>
                <w:i w:val="0"/>
                <w:iCs w:val="0"/>
                <w:color w:val="000000"/>
                <w:kern w:val="0"/>
                <w:sz w:val="21"/>
                <w:szCs w:val="21"/>
                <w:u w:val="none"/>
                <w:lang w:val="en-US" w:eastAsia="zh-CN" w:bidi="ar"/>
              </w:rPr>
              <w:t>（</w:t>
            </w:r>
            <w:r>
              <w:rPr>
                <w:rFonts w:hint="eastAsia" w:ascii="仿宋" w:hAnsi="仿宋" w:eastAsia="仿宋" w:cs="仿宋"/>
                <w:b/>
                <w:bCs/>
                <w:i w:val="0"/>
                <w:iCs w:val="0"/>
                <w:color w:val="000000"/>
                <w:kern w:val="0"/>
                <w:sz w:val="21"/>
                <w:szCs w:val="21"/>
                <w:u w:val="none"/>
                <w:lang w:val="en-US" w:eastAsia="zh-CN" w:bidi="ar"/>
              </w:rPr>
              <w:t>按经济分类</w:t>
            </w:r>
            <w:r>
              <w:rPr>
                <w:rFonts w:hint="eastAsia" w:hAnsi="仿宋" w:cs="仿宋"/>
                <w:b/>
                <w:bCs/>
                <w:i w:val="0"/>
                <w:iCs w:val="0"/>
                <w:color w:val="000000"/>
                <w:kern w:val="0"/>
                <w:sz w:val="21"/>
                <w:szCs w:val="21"/>
                <w:u w:val="none"/>
                <w:lang w:val="en-US" w:eastAsia="zh-CN" w:bidi="ar"/>
              </w:rPr>
              <w: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2022年预算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一、一般公共预算资金</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77,135,024.66</w:t>
            </w: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一、本级安排</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84,135,024.66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本级财力安排</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73,818,924.66</w:t>
            </w: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工资福利支出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51,338,944.68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专项收入安排</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商品和服务支出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27,377,555.98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执法办案补助</w:t>
            </w:r>
          </w:p>
        </w:tc>
        <w:tc>
          <w:tcPr>
            <w:tcW w:w="208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540,000.00</w:t>
            </w: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对个人和家庭的补助</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4,053,324.00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收费成本补偿</w:t>
            </w:r>
          </w:p>
        </w:tc>
        <w:tc>
          <w:tcPr>
            <w:tcW w:w="20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2,776,100.00</w:t>
            </w: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债务利息及费用支出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国有资源（资产）有偿使用</w:t>
            </w:r>
          </w:p>
        </w:tc>
        <w:tc>
          <w:tcPr>
            <w:tcW w:w="208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资本性支出（基本建设）</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一般债券</w:t>
            </w:r>
          </w:p>
        </w:tc>
        <w:tc>
          <w:tcPr>
            <w:tcW w:w="208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资本性支出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hAnsi="仿宋" w:cs="仿宋"/>
                <w:i w:val="0"/>
                <w:iCs w:val="0"/>
                <w:color w:val="000000"/>
                <w:kern w:val="0"/>
                <w:sz w:val="21"/>
                <w:szCs w:val="21"/>
                <w:u w:val="none"/>
                <w:lang w:val="en-US" w:eastAsia="zh-CN" w:bidi="ar"/>
              </w:rPr>
              <w:t>1</w:t>
            </w:r>
            <w:r>
              <w:rPr>
                <w:rFonts w:hint="eastAsia" w:ascii="仿宋" w:hAnsi="仿宋" w:eastAsia="仿宋" w:cs="仿宋"/>
                <w:i w:val="0"/>
                <w:iCs w:val="0"/>
                <w:color w:val="000000"/>
                <w:kern w:val="0"/>
                <w:sz w:val="21"/>
                <w:szCs w:val="21"/>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二、政府性基金预算</w:t>
            </w:r>
          </w:p>
        </w:tc>
        <w:tc>
          <w:tcPr>
            <w:tcW w:w="208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对企业补助（基本建设）</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本级安排</w:t>
            </w:r>
          </w:p>
        </w:tc>
        <w:tc>
          <w:tcPr>
            <w:tcW w:w="208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对企业补助</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专项债券</w:t>
            </w:r>
          </w:p>
        </w:tc>
        <w:tc>
          <w:tcPr>
            <w:tcW w:w="208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对社会保障基金补助</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三、国有资本经营预算</w:t>
            </w:r>
          </w:p>
        </w:tc>
        <w:tc>
          <w:tcPr>
            <w:tcW w:w="2085" w:type="dxa"/>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    其他支出</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四、财政专户管理资金</w:t>
            </w:r>
          </w:p>
        </w:tc>
        <w:tc>
          <w:tcPr>
            <w:tcW w:w="2085" w:type="dxa"/>
            <w:tcBorders>
              <w:top w:val="nil"/>
              <w:left w:val="nil"/>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1"/>
                <w:szCs w:val="21"/>
                <w:u w:val="none"/>
              </w:rPr>
            </w:pPr>
          </w:p>
        </w:tc>
        <w:tc>
          <w:tcPr>
            <w:tcW w:w="2843" w:type="dxa"/>
            <w:tcBorders>
              <w:top w:val="nil"/>
              <w:left w:val="nil"/>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五、单位资金</w:t>
            </w:r>
          </w:p>
        </w:tc>
        <w:tc>
          <w:tcPr>
            <w:tcW w:w="20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7,000,000.00</w:t>
            </w:r>
          </w:p>
        </w:tc>
        <w:tc>
          <w:tcPr>
            <w:tcW w:w="2843" w:type="dxa"/>
            <w:tcBorders>
              <w:top w:val="nil"/>
              <w:left w:val="nil"/>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21"/>
                <w:szCs w:val="21"/>
                <w:u w:val="none"/>
              </w:rPr>
            </w:pP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收  入  总  计</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84,135,024.66</w:t>
            </w:r>
          </w:p>
        </w:tc>
        <w:tc>
          <w:tcPr>
            <w:tcW w:w="284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支  出  总  计</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84,135,024.66</w:t>
            </w:r>
          </w:p>
        </w:tc>
      </w:tr>
    </w:tbl>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ascii="仿宋" w:hAnsi="仿宋" w:eastAsia="仿宋" w:cs="仿宋"/>
          <w:kern w:val="36"/>
          <w:sz w:val="30"/>
          <w:szCs w:val="30"/>
          <w:lang w:val="en-US" w:eastAsia="zh-CN"/>
        </w:rPr>
      </w:pPr>
      <w:r>
        <w:rPr>
          <w:rFonts w:hint="eastAsia" w:ascii="仿宋" w:hAnsi="仿宋" w:eastAsia="仿宋" w:cs="仿宋"/>
          <w:kern w:val="36"/>
          <w:sz w:val="30"/>
          <w:szCs w:val="30"/>
          <w:lang w:val="en-US" w:eastAsia="zh-CN"/>
        </w:rPr>
        <w:t>2.预算编制及安排</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仿宋" w:hAnsi="仿宋" w:eastAsia="仿宋" w:cs="仿宋"/>
          <w:sz w:val="30"/>
          <w:szCs w:val="30"/>
        </w:rPr>
      </w:pPr>
      <w:r>
        <w:rPr>
          <w:rFonts w:hint="eastAsia" w:ascii="仿宋" w:hAnsi="仿宋" w:eastAsia="仿宋" w:cs="仿宋"/>
          <w:i w:val="0"/>
          <w:strike w:val="0"/>
          <w:color w:val="000000"/>
          <w:sz w:val="30"/>
          <w:szCs w:val="30"/>
          <w:u w:val="none"/>
        </w:rPr>
        <w:t>（1）部门预算编制</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仿宋" w:hAnsi="仿宋" w:eastAsia="仿宋" w:cs="仿宋"/>
          <w:sz w:val="30"/>
          <w:szCs w:val="30"/>
        </w:rPr>
      </w:pPr>
      <w:r>
        <w:rPr>
          <w:rFonts w:hint="eastAsia" w:ascii="仿宋" w:hAnsi="仿宋" w:eastAsia="仿宋" w:cs="仿宋"/>
          <w:i w:val="0"/>
          <w:strike w:val="0"/>
          <w:color w:val="000000"/>
          <w:sz w:val="30"/>
          <w:szCs w:val="30"/>
          <w:u w:val="none"/>
        </w:rPr>
        <w:t>预算编制部门（单位）包括</w:t>
      </w:r>
      <w:r>
        <w:rPr>
          <w:rFonts w:hint="eastAsia" w:hAnsi="仿宋" w:cs="仿宋"/>
          <w:i w:val="0"/>
          <w:strike w:val="0"/>
          <w:color w:val="000000"/>
          <w:sz w:val="30"/>
          <w:szCs w:val="30"/>
          <w:u w:val="none"/>
          <w:lang w:val="en-US" w:eastAsia="zh-CN"/>
        </w:rPr>
        <w:t>市市场监督管理局（本级）、</w:t>
      </w:r>
      <w:r>
        <w:rPr>
          <w:rFonts w:hint="default" w:hAnsi="仿宋" w:cs="Times New Roman"/>
          <w:szCs w:val="30"/>
          <w:lang w:val="en-US" w:eastAsia="zh-CN"/>
        </w:rPr>
        <w:t>玉溪市食品药品检验所、玉溪市121315投诉举报中心、玉溪市知识产权援助中心、玉溪市药品评价中心</w:t>
      </w:r>
      <w:r>
        <w:rPr>
          <w:rFonts w:hint="eastAsia" w:hAnsi="仿宋" w:cs="Times New Roman"/>
          <w:szCs w:val="30"/>
          <w:lang w:val="en-US" w:eastAsia="zh-CN"/>
        </w:rPr>
        <w:t>、</w:t>
      </w:r>
      <w:r>
        <w:rPr>
          <w:rFonts w:hint="default" w:hAnsi="仿宋" w:cs="Times New Roman"/>
          <w:szCs w:val="30"/>
          <w:lang w:val="en-US" w:eastAsia="zh-CN"/>
        </w:rPr>
        <w:t>玉溪市质量技术监督综合检测中心</w:t>
      </w:r>
      <w:r>
        <w:rPr>
          <w:rFonts w:hint="eastAsia" w:ascii="仿宋" w:hAnsi="仿宋" w:eastAsia="仿宋" w:cs="仿宋"/>
          <w:i w:val="0"/>
          <w:strike w:val="0"/>
          <w:color w:val="000000"/>
          <w:sz w:val="30"/>
          <w:szCs w:val="30"/>
          <w:u w:val="none"/>
        </w:rPr>
        <w:t>等</w:t>
      </w:r>
      <w:r>
        <w:rPr>
          <w:rFonts w:hint="eastAsia" w:hAnsi="仿宋" w:cs="仿宋"/>
          <w:i w:val="0"/>
          <w:strike w:val="0"/>
          <w:color w:val="000000"/>
          <w:sz w:val="30"/>
          <w:szCs w:val="30"/>
          <w:u w:val="none"/>
          <w:lang w:val="en-US" w:eastAsia="zh-CN"/>
        </w:rPr>
        <w:t>6</w:t>
      </w:r>
      <w:r>
        <w:rPr>
          <w:rFonts w:hint="eastAsia" w:ascii="仿宋" w:hAnsi="仿宋" w:eastAsia="仿宋" w:cs="仿宋"/>
          <w:i w:val="0"/>
          <w:strike w:val="0"/>
          <w:color w:val="000000"/>
          <w:sz w:val="30"/>
          <w:szCs w:val="30"/>
          <w:u w:val="none"/>
        </w:rPr>
        <w:t>个独立核算单位。</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仿宋" w:hAnsi="仿宋" w:eastAsia="仿宋" w:cs="仿宋"/>
          <w:sz w:val="30"/>
          <w:szCs w:val="30"/>
        </w:rPr>
      </w:pPr>
      <w:r>
        <w:rPr>
          <w:rFonts w:hint="eastAsia" w:ascii="仿宋" w:hAnsi="仿宋" w:eastAsia="仿宋" w:cs="仿宋"/>
          <w:i w:val="0"/>
          <w:strike w:val="0"/>
          <w:color w:val="000000"/>
          <w:sz w:val="30"/>
          <w:szCs w:val="30"/>
          <w:u w:val="none"/>
        </w:rPr>
        <w:t>（2）预算资金安排</w:t>
      </w:r>
      <w:r>
        <w:rPr>
          <w:rFonts w:hint="eastAsia" w:hAnsi="仿宋" w:cs="仿宋"/>
          <w:i w:val="0"/>
          <w:strike w:val="0"/>
          <w:color w:val="000000"/>
          <w:sz w:val="30"/>
          <w:szCs w:val="30"/>
          <w:u w:val="none"/>
          <w:lang w:val="en-US" w:eastAsia="zh-CN"/>
        </w:rPr>
        <w:t>总体</w:t>
      </w:r>
      <w:r>
        <w:rPr>
          <w:rFonts w:hint="eastAsia" w:ascii="仿宋" w:hAnsi="仿宋" w:eastAsia="仿宋" w:cs="仿宋"/>
          <w:i w:val="0"/>
          <w:strike w:val="0"/>
          <w:color w:val="000000"/>
          <w:sz w:val="30"/>
          <w:szCs w:val="30"/>
          <w:u w:val="none"/>
        </w:rPr>
        <w:t>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仿宋" w:hAnsi="仿宋" w:eastAsia="仿宋" w:cs="仿宋"/>
          <w:i w:val="0"/>
          <w:strike w:val="0"/>
          <w:color w:val="000000"/>
          <w:sz w:val="30"/>
          <w:u w:val="none"/>
          <w:lang w:val="en-US" w:eastAsia="zh-CN"/>
        </w:rPr>
      </w:pPr>
      <w:r>
        <w:rPr>
          <w:rFonts w:hint="eastAsia" w:ascii="仿宋" w:hAnsi="仿宋" w:eastAsia="仿宋" w:cs="仿宋"/>
          <w:i w:val="0"/>
          <w:strike w:val="0"/>
          <w:color w:val="000000"/>
          <w:sz w:val="30"/>
          <w:u w:val="none"/>
          <w:lang w:val="en-US" w:eastAsia="zh-CN"/>
        </w:rPr>
        <w:t>202</w:t>
      </w:r>
      <w:r>
        <w:rPr>
          <w:rFonts w:hint="eastAsia" w:hAnsi="仿宋" w:cs="仿宋"/>
          <w:i w:val="0"/>
          <w:strike w:val="0"/>
          <w:color w:val="000000"/>
          <w:sz w:val="30"/>
          <w:u w:val="none"/>
          <w:lang w:val="en-US" w:eastAsia="zh-CN"/>
        </w:rPr>
        <w:t>2</w:t>
      </w:r>
      <w:r>
        <w:rPr>
          <w:rFonts w:hint="eastAsia" w:ascii="仿宋" w:hAnsi="仿宋" w:eastAsia="仿宋" w:cs="仿宋"/>
          <w:i w:val="0"/>
          <w:strike w:val="0"/>
          <w:color w:val="000000"/>
          <w:sz w:val="30"/>
          <w:u w:val="none"/>
          <w:lang w:val="en-US" w:eastAsia="zh-CN"/>
        </w:rPr>
        <w:t>年</w:t>
      </w:r>
      <w:r>
        <w:rPr>
          <w:rFonts w:hint="eastAsia" w:hAnsi="仿宋" w:cs="仿宋"/>
          <w:i w:val="0"/>
          <w:strike w:val="0"/>
          <w:color w:val="000000"/>
          <w:sz w:val="30"/>
          <w:u w:val="none"/>
          <w:lang w:val="en-US" w:eastAsia="zh-CN"/>
        </w:rPr>
        <w:t>市市场监督管理局</w:t>
      </w:r>
      <w:r>
        <w:rPr>
          <w:rFonts w:hint="eastAsia" w:ascii="仿宋" w:hAnsi="仿宋" w:eastAsia="仿宋" w:cs="仿宋"/>
          <w:i w:val="0"/>
          <w:strike w:val="0"/>
          <w:color w:val="000000"/>
          <w:sz w:val="30"/>
          <w:u w:val="none"/>
          <w:lang w:val="en-US" w:eastAsia="zh-CN"/>
        </w:rPr>
        <w:t>总计安排预算资金</w:t>
      </w:r>
      <w:r>
        <w:rPr>
          <w:rFonts w:hint="eastAsia" w:hAnsi="仿宋" w:cs="仿宋"/>
          <w:i w:val="0"/>
          <w:strike w:val="0"/>
          <w:color w:val="000000"/>
          <w:sz w:val="30"/>
          <w:u w:val="none"/>
          <w:lang w:val="en-US" w:eastAsia="zh-CN"/>
        </w:rPr>
        <w:t>9,144.31</w:t>
      </w:r>
      <w:r>
        <w:rPr>
          <w:rFonts w:hint="eastAsia" w:ascii="仿宋" w:hAnsi="仿宋" w:eastAsia="仿宋" w:cs="仿宋"/>
          <w:i w:val="0"/>
          <w:strike w:val="0"/>
          <w:color w:val="000000"/>
          <w:sz w:val="30"/>
          <w:u w:val="none"/>
          <w:lang w:val="en-US" w:eastAsia="zh-CN"/>
        </w:rPr>
        <w:t>万元，年初预算安排</w:t>
      </w:r>
      <w:r>
        <w:rPr>
          <w:rFonts w:hint="eastAsia" w:ascii="仿宋" w:hAnsi="仿宋" w:eastAsia="仿宋" w:cs="仿宋"/>
          <w:i w:val="0"/>
          <w:strike w:val="0"/>
          <w:color w:val="000000"/>
          <w:sz w:val="30"/>
          <w:u w:val="none"/>
        </w:rPr>
        <w:t>8</w:t>
      </w:r>
      <w:r>
        <w:rPr>
          <w:rFonts w:hint="eastAsia" w:hAnsi="仿宋" w:cs="仿宋"/>
          <w:i w:val="0"/>
          <w:strike w:val="0"/>
          <w:color w:val="000000"/>
          <w:sz w:val="30"/>
          <w:u w:val="none"/>
          <w:lang w:val="en-US" w:eastAsia="zh-CN"/>
        </w:rPr>
        <w:t>,</w:t>
      </w:r>
      <w:r>
        <w:rPr>
          <w:rFonts w:hint="eastAsia" w:ascii="仿宋" w:hAnsi="仿宋" w:eastAsia="仿宋" w:cs="仿宋"/>
          <w:i w:val="0"/>
          <w:strike w:val="0"/>
          <w:color w:val="000000"/>
          <w:sz w:val="30"/>
          <w:u w:val="none"/>
        </w:rPr>
        <w:t>413.50</w:t>
      </w:r>
      <w:r>
        <w:rPr>
          <w:rFonts w:hint="eastAsia" w:ascii="仿宋" w:hAnsi="仿宋" w:eastAsia="仿宋" w:cs="仿宋"/>
          <w:i w:val="0"/>
          <w:strike w:val="0"/>
          <w:color w:val="000000"/>
          <w:sz w:val="30"/>
          <w:u w:val="none"/>
          <w:lang w:val="en-US" w:eastAsia="zh-CN"/>
        </w:rPr>
        <w:t>万元，年中追加项目支出</w:t>
      </w:r>
      <w:r>
        <w:rPr>
          <w:rFonts w:hint="eastAsia" w:hAnsi="仿宋" w:cs="仿宋"/>
          <w:i w:val="0"/>
          <w:strike w:val="0"/>
          <w:color w:val="000000"/>
          <w:sz w:val="30"/>
          <w:u w:val="none"/>
          <w:lang w:val="en-US" w:eastAsia="zh-CN"/>
        </w:rPr>
        <w:t>730.81</w:t>
      </w:r>
      <w:r>
        <w:rPr>
          <w:rFonts w:hint="eastAsia" w:ascii="仿宋" w:hAnsi="仿宋" w:eastAsia="仿宋" w:cs="仿宋"/>
          <w:i w:val="0"/>
          <w:strike w:val="0"/>
          <w:color w:val="000000"/>
          <w:sz w:val="30"/>
          <w:u w:val="none"/>
          <w:lang w:val="en-US" w:eastAsia="zh-CN"/>
        </w:rPr>
        <w:t>万元。其中：</w:t>
      </w:r>
      <w:r>
        <w:rPr>
          <w:rFonts w:hint="eastAsia" w:hAnsi="仿宋" w:cs="仿宋"/>
          <w:i w:val="0"/>
          <w:strike w:val="0"/>
          <w:color w:val="000000"/>
          <w:sz w:val="30"/>
          <w:u w:val="none"/>
          <w:lang w:val="en-US" w:eastAsia="zh-CN"/>
        </w:rPr>
        <w:t>市</w:t>
      </w:r>
      <w:r>
        <w:rPr>
          <w:rFonts w:hint="eastAsia" w:ascii="仿宋" w:hAnsi="仿宋" w:eastAsia="仿宋" w:cs="仿宋"/>
          <w:i w:val="0"/>
          <w:strike w:val="0"/>
          <w:color w:val="000000"/>
          <w:sz w:val="30"/>
          <w:u w:val="none"/>
          <w:lang w:val="en-US" w:eastAsia="zh-CN"/>
        </w:rPr>
        <w:t>本级财政预算资金安排</w:t>
      </w:r>
      <w:r>
        <w:rPr>
          <w:rFonts w:hint="eastAsia" w:hAnsi="仿宋" w:cs="仿宋"/>
          <w:i w:val="0"/>
          <w:strike w:val="0"/>
          <w:color w:val="000000"/>
          <w:sz w:val="30"/>
          <w:u w:val="none"/>
          <w:lang w:val="en-US" w:eastAsia="zh-CN"/>
        </w:rPr>
        <w:t>8,728.56</w:t>
      </w:r>
      <w:r>
        <w:rPr>
          <w:rFonts w:hint="eastAsia" w:ascii="仿宋" w:hAnsi="仿宋" w:eastAsia="仿宋" w:cs="仿宋"/>
          <w:i w:val="0"/>
          <w:strike w:val="0"/>
          <w:color w:val="000000"/>
          <w:sz w:val="30"/>
          <w:u w:val="none"/>
          <w:lang w:val="en-US" w:eastAsia="zh-CN"/>
        </w:rPr>
        <w:t>万元；上级转移支付项目资金安排</w:t>
      </w:r>
      <w:r>
        <w:rPr>
          <w:rFonts w:hint="eastAsia" w:hAnsi="仿宋" w:cs="仿宋"/>
          <w:i w:val="0"/>
          <w:strike w:val="0"/>
          <w:color w:val="000000"/>
          <w:sz w:val="30"/>
          <w:u w:val="none"/>
          <w:lang w:val="en-US" w:eastAsia="zh-CN"/>
        </w:rPr>
        <w:t>415.75</w:t>
      </w:r>
      <w:r>
        <w:rPr>
          <w:rFonts w:hint="eastAsia" w:ascii="仿宋" w:hAnsi="仿宋" w:eastAsia="仿宋" w:cs="仿宋"/>
          <w:i w:val="0"/>
          <w:strike w:val="0"/>
          <w:color w:val="000000"/>
          <w:sz w:val="30"/>
          <w:u w:val="none"/>
          <w:lang w:val="en-US" w:eastAsia="zh-CN"/>
        </w:rPr>
        <w:t>万元。</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default" w:ascii="仿宋" w:hAnsi="仿宋" w:eastAsia="仿宋" w:cs="仿宋"/>
          <w:i w:val="0"/>
          <w:strike w:val="0"/>
          <w:color w:val="000000"/>
          <w:sz w:val="30"/>
          <w:szCs w:val="30"/>
          <w:u w:val="none"/>
          <w:lang w:val="en-US" w:eastAsia="zh-CN"/>
        </w:rPr>
      </w:pPr>
      <w:r>
        <w:rPr>
          <w:rFonts w:hint="eastAsia" w:hAnsi="仿宋" w:cs="仿宋"/>
          <w:i w:val="0"/>
          <w:strike w:val="0"/>
          <w:color w:val="000000"/>
          <w:sz w:val="30"/>
          <w:szCs w:val="30"/>
          <w:u w:val="none"/>
          <w:lang w:val="en-US" w:eastAsia="zh-CN"/>
        </w:rPr>
        <w:t>①市本级预算资金安排情况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ascii="仿宋" w:hAnsi="仿宋" w:eastAsia="仿宋" w:cs="仿宋"/>
          <w:i w:val="0"/>
          <w:strike w:val="0"/>
          <w:color w:val="000000"/>
          <w:sz w:val="30"/>
          <w:u w:val="none"/>
        </w:rPr>
      </w:pPr>
      <w:r>
        <w:rPr>
          <w:rFonts w:hint="eastAsia" w:ascii="仿宋" w:hAnsi="仿宋" w:eastAsia="仿宋" w:cs="仿宋"/>
          <w:i w:val="0"/>
          <w:strike w:val="0"/>
          <w:color w:val="000000"/>
          <w:sz w:val="30"/>
          <w:szCs w:val="30"/>
          <w:u w:val="none"/>
        </w:rPr>
        <w:t>市本级预算资金</w:t>
      </w:r>
      <w:r>
        <w:rPr>
          <w:rFonts w:hint="eastAsia" w:ascii="仿宋" w:hAnsi="仿宋" w:eastAsia="仿宋" w:cs="仿宋"/>
          <w:i w:val="0"/>
          <w:strike w:val="0"/>
          <w:color w:val="000000"/>
          <w:sz w:val="30"/>
          <w:u w:val="none"/>
        </w:rPr>
        <w:t>8</w:t>
      </w:r>
      <w:r>
        <w:rPr>
          <w:rFonts w:hint="eastAsia" w:hAnsi="仿宋" w:cs="仿宋"/>
          <w:i w:val="0"/>
          <w:strike w:val="0"/>
          <w:color w:val="000000"/>
          <w:sz w:val="30"/>
          <w:u w:val="none"/>
          <w:lang w:val="en-US" w:eastAsia="zh-CN"/>
        </w:rPr>
        <w:t>,</w:t>
      </w:r>
      <w:r>
        <w:rPr>
          <w:rFonts w:hint="eastAsia" w:ascii="仿宋" w:hAnsi="仿宋" w:eastAsia="仿宋" w:cs="仿宋"/>
          <w:i w:val="0"/>
          <w:strike w:val="0"/>
          <w:color w:val="000000"/>
          <w:sz w:val="30"/>
          <w:u w:val="none"/>
        </w:rPr>
        <w:t>413.50</w:t>
      </w:r>
      <w:r>
        <w:rPr>
          <w:rFonts w:hint="eastAsia" w:ascii="仿宋" w:hAnsi="仿宋" w:eastAsia="仿宋" w:cs="仿宋"/>
          <w:i w:val="0"/>
          <w:strike w:val="0"/>
          <w:color w:val="000000"/>
          <w:sz w:val="30"/>
          <w:szCs w:val="30"/>
          <w:u w:val="none"/>
        </w:rPr>
        <w:t>万元。用于保障</w:t>
      </w:r>
      <w:r>
        <w:rPr>
          <w:rFonts w:hint="eastAsia" w:hAnsi="仿宋" w:cs="仿宋"/>
          <w:i w:val="0"/>
          <w:strike w:val="0"/>
          <w:color w:val="000000"/>
          <w:sz w:val="30"/>
          <w:szCs w:val="30"/>
          <w:u w:val="none"/>
          <w:lang w:val="en-US" w:eastAsia="zh-CN"/>
        </w:rPr>
        <w:t>局</w:t>
      </w:r>
      <w:r>
        <w:rPr>
          <w:rFonts w:hint="eastAsia" w:ascii="仿宋" w:hAnsi="仿宋" w:eastAsia="仿宋" w:cs="仿宋"/>
          <w:i w:val="0"/>
          <w:strike w:val="0"/>
          <w:color w:val="000000"/>
          <w:sz w:val="30"/>
          <w:szCs w:val="30"/>
          <w:u w:val="none"/>
        </w:rPr>
        <w:t>机关、下属事业单位等机构正常运转的基</w:t>
      </w:r>
      <w:r>
        <w:rPr>
          <w:rFonts w:hint="eastAsia" w:ascii="仿宋" w:hAnsi="仿宋" w:eastAsia="仿宋" w:cs="仿宋"/>
          <w:i w:val="0"/>
          <w:strike w:val="0"/>
          <w:color w:val="000000"/>
          <w:spacing w:val="0"/>
          <w:sz w:val="30"/>
          <w:szCs w:val="30"/>
          <w:u w:val="none"/>
          <w:shd w:val="clear" w:color="auto" w:fill="FFFFFF"/>
        </w:rPr>
        <w:t>本支出</w:t>
      </w:r>
      <w:r>
        <w:rPr>
          <w:rFonts w:hint="eastAsia" w:hAnsi="仿宋" w:cs="仿宋"/>
          <w:i w:val="0"/>
          <w:strike w:val="0"/>
          <w:color w:val="000000"/>
          <w:spacing w:val="0"/>
          <w:sz w:val="30"/>
          <w:szCs w:val="30"/>
          <w:u w:val="none"/>
          <w:shd w:val="clear" w:color="auto" w:fill="FFFFFF"/>
          <w:lang w:val="en-US" w:eastAsia="zh-CN"/>
        </w:rPr>
        <w:t>6,981.89</w:t>
      </w:r>
      <w:r>
        <w:rPr>
          <w:rFonts w:hint="eastAsia" w:ascii="仿宋" w:hAnsi="仿宋" w:eastAsia="仿宋" w:cs="仿宋"/>
          <w:i w:val="0"/>
          <w:strike w:val="0"/>
          <w:color w:val="000000"/>
          <w:spacing w:val="0"/>
          <w:sz w:val="30"/>
          <w:szCs w:val="30"/>
          <w:u w:val="none"/>
          <w:shd w:val="clear" w:color="auto" w:fill="FFFFFF"/>
        </w:rPr>
        <w:t>万元，其中工</w:t>
      </w:r>
      <w:r>
        <w:rPr>
          <w:rFonts w:hint="eastAsia" w:ascii="仿宋" w:hAnsi="仿宋" w:eastAsia="仿宋" w:cs="仿宋"/>
          <w:i w:val="0"/>
          <w:strike w:val="0"/>
          <w:color w:val="000000"/>
          <w:sz w:val="30"/>
          <w:szCs w:val="30"/>
          <w:u w:val="none"/>
        </w:rPr>
        <w:t>资福利支出</w:t>
      </w:r>
      <w:r>
        <w:rPr>
          <w:rFonts w:hint="eastAsia" w:hAnsi="仿宋" w:cs="仿宋"/>
          <w:i w:val="0"/>
          <w:strike w:val="0"/>
          <w:color w:val="000000"/>
          <w:sz w:val="30"/>
          <w:szCs w:val="30"/>
          <w:u w:val="none"/>
          <w:lang w:val="en-US" w:eastAsia="zh-CN"/>
        </w:rPr>
        <w:t>5</w:t>
      </w:r>
      <w:r>
        <w:rPr>
          <w:rFonts w:hint="default" w:hAnsi="仿宋" w:cs="仿宋"/>
          <w:i w:val="0"/>
          <w:strike w:val="0"/>
          <w:color w:val="000000"/>
          <w:sz w:val="30"/>
          <w:szCs w:val="30"/>
          <w:u w:val="none"/>
          <w:lang w:eastAsia="zh-CN"/>
        </w:rPr>
        <w:t>,</w:t>
      </w:r>
      <w:r>
        <w:rPr>
          <w:rFonts w:hint="eastAsia" w:hAnsi="仿宋" w:cs="仿宋"/>
          <w:i w:val="0"/>
          <w:strike w:val="0"/>
          <w:color w:val="000000"/>
          <w:sz w:val="30"/>
          <w:szCs w:val="30"/>
          <w:u w:val="none"/>
          <w:lang w:val="en-US" w:eastAsia="zh-CN"/>
        </w:rPr>
        <w:t>133.89</w:t>
      </w:r>
      <w:r>
        <w:rPr>
          <w:rFonts w:hint="eastAsia" w:ascii="仿宋" w:hAnsi="仿宋" w:eastAsia="仿宋" w:cs="仿宋"/>
          <w:i w:val="0"/>
          <w:strike w:val="0"/>
          <w:color w:val="000000"/>
          <w:sz w:val="30"/>
          <w:szCs w:val="30"/>
          <w:u w:val="none"/>
        </w:rPr>
        <w:t>万元，商品和服务支出</w:t>
      </w:r>
      <w:r>
        <w:rPr>
          <w:rFonts w:hint="eastAsia" w:hAnsi="仿宋" w:cs="仿宋"/>
          <w:i w:val="0"/>
          <w:strike w:val="0"/>
          <w:color w:val="000000"/>
          <w:sz w:val="30"/>
          <w:szCs w:val="30"/>
          <w:u w:val="none"/>
          <w:lang w:val="en-US" w:eastAsia="zh-CN"/>
        </w:rPr>
        <w:t>1,441.67</w:t>
      </w:r>
      <w:r>
        <w:rPr>
          <w:rFonts w:ascii="仿宋" w:hAnsi="仿宋" w:eastAsia="仿宋" w:cs="仿宋"/>
          <w:i w:val="0"/>
          <w:strike w:val="0"/>
          <w:color w:val="000000"/>
          <w:sz w:val="30"/>
          <w:u w:val="none"/>
        </w:rPr>
        <w:t>万元，对个人和家庭的补助</w:t>
      </w:r>
      <w:r>
        <w:rPr>
          <w:rFonts w:hint="eastAsia" w:hAnsi="仿宋" w:cs="仿宋"/>
          <w:i w:val="0"/>
          <w:strike w:val="0"/>
          <w:color w:val="000000"/>
          <w:sz w:val="30"/>
          <w:u w:val="none"/>
          <w:lang w:val="en-US" w:eastAsia="zh-CN"/>
        </w:rPr>
        <w:t>405.33</w:t>
      </w:r>
      <w:r>
        <w:rPr>
          <w:rFonts w:ascii="仿宋" w:hAnsi="仿宋" w:eastAsia="仿宋" w:cs="仿宋"/>
          <w:i w:val="0"/>
          <w:strike w:val="0"/>
          <w:color w:val="000000"/>
          <w:sz w:val="30"/>
          <w:u w:val="none"/>
        </w:rPr>
        <w:t>万元，资本性支出</w:t>
      </w:r>
      <w:r>
        <w:rPr>
          <w:rFonts w:hint="eastAsia" w:hAnsi="仿宋" w:cs="仿宋"/>
          <w:i w:val="0"/>
          <w:strike w:val="0"/>
          <w:color w:val="000000"/>
          <w:sz w:val="30"/>
          <w:u w:val="none"/>
          <w:lang w:val="en-US" w:eastAsia="zh-CN"/>
        </w:rPr>
        <w:t>1</w:t>
      </w:r>
      <w:r>
        <w:rPr>
          <w:rFonts w:ascii="仿宋" w:hAnsi="仿宋" w:eastAsia="仿宋" w:cs="仿宋"/>
          <w:i w:val="0"/>
          <w:strike w:val="0"/>
          <w:color w:val="000000"/>
          <w:sz w:val="30"/>
          <w:u w:val="none"/>
        </w:rPr>
        <w:t>万元。</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ascii="仿宋" w:hAnsi="仿宋" w:eastAsia="仿宋" w:cs="仿宋"/>
          <w:i w:val="0"/>
          <w:strike w:val="0"/>
          <w:color w:val="000000"/>
          <w:sz w:val="30"/>
          <w:u w:val="none"/>
        </w:rPr>
      </w:pPr>
      <w:r>
        <w:rPr>
          <w:rFonts w:ascii="仿宋" w:hAnsi="仿宋" w:eastAsia="仿宋" w:cs="仿宋"/>
          <w:i w:val="0"/>
          <w:strike w:val="0"/>
          <w:color w:val="000000"/>
          <w:sz w:val="30"/>
          <w:u w:val="none"/>
        </w:rPr>
        <w:t>用于保障</w:t>
      </w:r>
      <w:r>
        <w:rPr>
          <w:rFonts w:ascii="仿宋" w:hAnsi="仿宋" w:eastAsia="仿宋" w:cs="仿宋"/>
          <w:i w:val="0"/>
          <w:strike w:val="0"/>
          <w:color w:val="000000"/>
          <w:sz w:val="30"/>
          <w:highlight w:val="none"/>
          <w:u w:val="none"/>
        </w:rPr>
        <w:t>局机关、下属事业单位等机构为完成特定的行政工作任务或事业发展目标的项目支出</w:t>
      </w:r>
      <w:r>
        <w:rPr>
          <w:rFonts w:hint="eastAsia" w:hAnsi="仿宋" w:cs="仿宋"/>
          <w:i w:val="0"/>
          <w:strike w:val="0"/>
          <w:color w:val="000000"/>
          <w:sz w:val="30"/>
          <w:highlight w:val="none"/>
          <w:u w:val="none"/>
          <w:lang w:val="en-US" w:eastAsia="zh-CN"/>
        </w:rPr>
        <w:t>1,746.67</w:t>
      </w:r>
      <w:r>
        <w:rPr>
          <w:rFonts w:ascii="仿宋" w:hAnsi="仿宋" w:eastAsia="仿宋" w:cs="仿宋"/>
          <w:i w:val="0"/>
          <w:strike w:val="0"/>
          <w:color w:val="000000"/>
          <w:sz w:val="30"/>
          <w:highlight w:val="none"/>
          <w:u w:val="none"/>
        </w:rPr>
        <w:t>万元，预算资</w:t>
      </w:r>
      <w:r>
        <w:rPr>
          <w:rFonts w:ascii="仿宋" w:hAnsi="仿宋" w:eastAsia="仿宋" w:cs="仿宋"/>
          <w:i w:val="0"/>
          <w:strike w:val="0"/>
          <w:color w:val="000000"/>
          <w:sz w:val="30"/>
          <w:u w:val="none"/>
        </w:rPr>
        <w:t>金安排情况如下：</w:t>
      </w:r>
    </w:p>
    <w:p>
      <w:pPr>
        <w:spacing w:before="0" w:after="0" w:line="240" w:lineRule="auto"/>
        <w:ind w:left="0" w:right="0"/>
        <w:jc w:val="center"/>
        <w:rPr>
          <w:rFonts w:ascii="黑体" w:hAnsi="黑体" w:eastAsia="黑体" w:cs="黑体"/>
          <w:i w:val="0"/>
          <w:strike w:val="0"/>
          <w:color w:val="000000"/>
          <w:sz w:val="24"/>
          <w:szCs w:val="20"/>
          <w:u w:val="none"/>
        </w:rPr>
      </w:pPr>
      <w:r>
        <w:rPr>
          <w:rFonts w:ascii="黑体" w:hAnsi="黑体" w:eastAsia="黑体" w:cs="黑体"/>
          <w:i w:val="0"/>
          <w:strike w:val="0"/>
          <w:color w:val="000000"/>
          <w:sz w:val="24"/>
          <w:szCs w:val="20"/>
          <w:u w:val="none"/>
        </w:rPr>
        <w:t>表</w:t>
      </w:r>
      <w:r>
        <w:rPr>
          <w:rFonts w:hint="eastAsia" w:ascii="黑体" w:hAnsi="黑体" w:eastAsia="黑体" w:cs="黑体"/>
          <w:i w:val="0"/>
          <w:strike w:val="0"/>
          <w:color w:val="000000"/>
          <w:sz w:val="24"/>
          <w:szCs w:val="20"/>
          <w:u w:val="none"/>
          <w:lang w:val="en-US" w:eastAsia="zh-CN"/>
        </w:rPr>
        <w:t>3</w:t>
      </w:r>
      <w:r>
        <w:rPr>
          <w:rFonts w:ascii="黑体" w:hAnsi="黑体" w:eastAsia="黑体" w:cs="黑体"/>
          <w:i w:val="0"/>
          <w:strike w:val="0"/>
          <w:color w:val="000000"/>
          <w:sz w:val="24"/>
          <w:szCs w:val="20"/>
          <w:u w:val="none"/>
        </w:rPr>
        <w:t>：本级项目支出资金安排表</w:t>
      </w:r>
    </w:p>
    <w:p>
      <w:pPr>
        <w:pStyle w:val="8"/>
        <w:jc w:val="right"/>
        <w:rPr>
          <w:rFonts w:hint="default" w:ascii="黑体" w:hAnsi="黑体" w:eastAsia="黑体" w:cs="黑体"/>
          <w:i w:val="0"/>
          <w:strike w:val="0"/>
          <w:color w:val="000000"/>
          <w:kern w:val="30"/>
          <w:sz w:val="24"/>
          <w:szCs w:val="20"/>
          <w:u w:val="none"/>
          <w:lang w:val="en-US" w:eastAsia="zh-CN" w:bidi="ar-SA"/>
        </w:rPr>
      </w:pPr>
      <w:r>
        <w:rPr>
          <w:rFonts w:hint="eastAsia" w:ascii="黑体" w:hAnsi="黑体" w:eastAsia="黑体" w:cs="黑体"/>
          <w:i w:val="0"/>
          <w:strike w:val="0"/>
          <w:color w:val="000000"/>
          <w:kern w:val="30"/>
          <w:sz w:val="24"/>
          <w:szCs w:val="20"/>
          <w:u w:val="none"/>
          <w:lang w:val="en-US" w:eastAsia="zh-CN" w:bidi="ar-SA"/>
        </w:rPr>
        <w:t>单位：万元</w:t>
      </w:r>
    </w:p>
    <w:tbl>
      <w:tblPr>
        <w:tblStyle w:val="20"/>
        <w:tblW w:w="9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3428"/>
        <w:gridCol w:w="1777"/>
        <w:gridCol w:w="194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责任单位</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资金来源</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w:t>
            </w:r>
            <w:r>
              <w:rPr>
                <w:rFonts w:hint="eastAsia" w:hAnsi="仿宋" w:cs="仿宋"/>
                <w:b/>
                <w:bCs/>
                <w:i w:val="0"/>
                <w:iCs w:val="0"/>
                <w:color w:val="000000"/>
                <w:kern w:val="0"/>
                <w:sz w:val="20"/>
                <w:szCs w:val="20"/>
                <w:u w:val="none"/>
                <w:lang w:val="en-US" w:eastAsia="zh-CN" w:bidi="ar"/>
              </w:rPr>
              <w:t>,</w:t>
            </w:r>
            <w:r>
              <w:rPr>
                <w:rFonts w:hint="eastAsia" w:ascii="仿宋" w:hAnsi="仿宋" w:eastAsia="仿宋" w:cs="仿宋"/>
                <w:b/>
                <w:bCs/>
                <w:i w:val="0"/>
                <w:iCs w:val="0"/>
                <w:color w:val="000000"/>
                <w:kern w:val="0"/>
                <w:sz w:val="20"/>
                <w:szCs w:val="20"/>
                <w:u w:val="none"/>
                <w:lang w:val="en-US" w:eastAsia="zh-CN" w:bidi="ar"/>
              </w:rPr>
              <w:t xml:space="preserve">746.67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高新分局市场监管专项经费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高新分局</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高新区管委会资金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141.74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食品生产环节安全监管经费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抽检科、生产科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计量和认证认可专项经费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计认科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药品安全监管经费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非税收入成本性支出补助资金</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稽查科、行审科等</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54.00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市场监管社会共治格局构建宣传经费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办公室、财务科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83.62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医疗器械安全监管经费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医械科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化妆品安全监管经费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化妆品科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行政执法服装配置专项经费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46.33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食用农产品安全监督抽检专项资金</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抽检科</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206.60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非税收入成本性支出经费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质检中心</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277.61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工业产品监督抽检经费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质检中心</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30.38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检验检测保障及能力提升经费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质检中心</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经营收入</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食品安全监督抽检专项经费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质检中心</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65.00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食品</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含保健食品</w:t>
            </w:r>
            <w:r>
              <w:rPr>
                <w:rFonts w:hint="eastAsia" w:hAnsi="仿宋" w:cs="仿宋"/>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检验经费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食药检所</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43.36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药品及化妆品检验经费</w:t>
            </w:r>
          </w:p>
        </w:tc>
        <w:tc>
          <w:tcPr>
            <w:tcW w:w="1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食药检所</w:t>
            </w:r>
          </w:p>
        </w:tc>
        <w:tc>
          <w:tcPr>
            <w:tcW w:w="1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市级资金</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39.02 </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after="0" w:line="590" w:lineRule="exact"/>
        <w:ind w:leftChars="200" w:right="0" w:rightChars="0"/>
        <w:jc w:val="both"/>
        <w:textAlignment w:val="auto"/>
        <w:rPr>
          <w:rFonts w:hint="eastAsia" w:hAnsi="仿宋" w:cs="仿宋"/>
          <w:i w:val="0"/>
          <w:strike w:val="0"/>
          <w:color w:val="000000"/>
          <w:sz w:val="30"/>
          <w:u w:val="none"/>
          <w:lang w:val="en-US" w:eastAsia="zh-CN"/>
        </w:rPr>
      </w:pPr>
      <w:r>
        <w:rPr>
          <w:rFonts w:hint="eastAsia" w:hAnsi="仿宋" w:cs="仿宋"/>
          <w:i w:val="0"/>
          <w:strike w:val="0"/>
          <w:color w:val="000000"/>
          <w:sz w:val="30"/>
          <w:u w:val="none"/>
          <w:lang w:val="en-US" w:eastAsia="zh-CN"/>
        </w:rPr>
        <w:t>②上级转移支付资金安排项目情况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仿宋" w:hAnsi="仿宋" w:eastAsia="仿宋" w:cs="仿宋"/>
          <w:i w:val="0"/>
          <w:strike w:val="0"/>
          <w:color w:val="000000"/>
          <w:sz w:val="30"/>
          <w:u w:val="none"/>
          <w:lang w:val="en-US" w:eastAsia="zh-CN"/>
        </w:rPr>
      </w:pPr>
      <w:r>
        <w:rPr>
          <w:rFonts w:hint="eastAsia" w:ascii="仿宋" w:hAnsi="仿宋" w:eastAsia="仿宋" w:cs="仿宋"/>
          <w:i w:val="0"/>
          <w:strike w:val="0"/>
          <w:color w:val="000000"/>
          <w:sz w:val="30"/>
          <w:u w:val="none"/>
          <w:lang w:val="en-US" w:eastAsia="zh-CN"/>
        </w:rPr>
        <w:t>202</w:t>
      </w:r>
      <w:r>
        <w:rPr>
          <w:rFonts w:hint="eastAsia" w:hAnsi="仿宋" w:cs="仿宋"/>
          <w:i w:val="0"/>
          <w:strike w:val="0"/>
          <w:color w:val="000000"/>
          <w:sz w:val="30"/>
          <w:u w:val="none"/>
          <w:lang w:val="en-US" w:eastAsia="zh-CN"/>
        </w:rPr>
        <w:t>2</w:t>
      </w:r>
      <w:r>
        <w:rPr>
          <w:rFonts w:hint="eastAsia" w:ascii="仿宋" w:hAnsi="仿宋" w:eastAsia="仿宋" w:cs="仿宋"/>
          <w:i w:val="0"/>
          <w:strike w:val="0"/>
          <w:color w:val="000000"/>
          <w:sz w:val="30"/>
          <w:u w:val="none"/>
          <w:lang w:val="en-US" w:eastAsia="zh-CN"/>
        </w:rPr>
        <w:t>年上级转移支付资金</w:t>
      </w:r>
      <w:r>
        <w:rPr>
          <w:rFonts w:hint="eastAsia" w:hAnsi="仿宋" w:cs="仿宋"/>
          <w:i w:val="0"/>
          <w:strike w:val="0"/>
          <w:color w:val="000000"/>
          <w:sz w:val="30"/>
          <w:u w:val="none"/>
          <w:lang w:val="en-US" w:eastAsia="zh-CN"/>
        </w:rPr>
        <w:t>415.75</w:t>
      </w:r>
      <w:r>
        <w:rPr>
          <w:rFonts w:hint="eastAsia" w:ascii="仿宋" w:hAnsi="仿宋" w:eastAsia="仿宋" w:cs="仿宋"/>
          <w:i w:val="0"/>
          <w:strike w:val="0"/>
          <w:color w:val="000000"/>
          <w:sz w:val="30"/>
          <w:u w:val="none"/>
          <w:lang w:val="en-US" w:eastAsia="zh-CN"/>
        </w:rPr>
        <w:t>万元，主要资金安排情况如下</w:t>
      </w:r>
      <w:r>
        <w:rPr>
          <w:rFonts w:hint="eastAsia" w:hAnsi="仿宋" w:cs="仿宋"/>
          <w:i w:val="0"/>
          <w:strike w:val="0"/>
          <w:color w:val="000000"/>
          <w:sz w:val="30"/>
          <w:u w:val="none"/>
          <w:lang w:val="en-US" w:eastAsia="zh-CN"/>
        </w:rPr>
        <w:t>：</w:t>
      </w:r>
    </w:p>
    <w:p>
      <w:pPr>
        <w:spacing w:before="0" w:after="0" w:line="579" w:lineRule="exact"/>
        <w:ind w:left="0" w:right="0" w:firstLine="510" w:firstLineChars="200"/>
        <w:jc w:val="center"/>
        <w:rPr>
          <w:rFonts w:hint="default" w:ascii="黑体" w:hAnsi="黑体" w:eastAsia="黑体" w:cs="黑体"/>
          <w:b w:val="0"/>
          <w:i w:val="0"/>
          <w:strike w:val="0"/>
          <w:color w:val="000000"/>
          <w:sz w:val="24"/>
          <w:u w:val="none"/>
          <w:lang w:val="en-US" w:eastAsia="zh-CN"/>
        </w:rPr>
      </w:pPr>
      <w:r>
        <w:rPr>
          <w:rFonts w:hint="eastAsia" w:ascii="黑体" w:hAnsi="黑体" w:eastAsia="黑体" w:cs="黑体"/>
          <w:b w:val="0"/>
          <w:i w:val="0"/>
          <w:strike w:val="0"/>
          <w:color w:val="000000"/>
          <w:sz w:val="24"/>
          <w:u w:val="none"/>
          <w:lang w:val="en-US" w:eastAsia="zh-CN"/>
        </w:rPr>
        <w:t>表4：上级转移支付资金安排项目情况</w:t>
      </w:r>
    </w:p>
    <w:p>
      <w:pPr>
        <w:pStyle w:val="8"/>
        <w:jc w:val="right"/>
        <w:rPr>
          <w:rFonts w:hint="default" w:eastAsia="黑体"/>
          <w:lang w:val="en-US" w:eastAsia="zh-CN"/>
        </w:rPr>
      </w:pPr>
      <w:r>
        <w:rPr>
          <w:rFonts w:hint="eastAsia" w:ascii="黑体" w:hAnsi="黑体" w:eastAsia="黑体" w:cs="黑体"/>
          <w:i w:val="0"/>
          <w:strike w:val="0"/>
          <w:color w:val="000000"/>
          <w:sz w:val="24"/>
          <w:szCs w:val="20"/>
          <w:u w:val="none"/>
          <w:lang w:val="en-US" w:eastAsia="zh-CN"/>
        </w:rPr>
        <w:t>单位：万元</w:t>
      </w:r>
    </w:p>
    <w:tbl>
      <w:tblPr>
        <w:tblStyle w:val="20"/>
        <w:tblW w:w="9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3448"/>
        <w:gridCol w:w="1904"/>
        <w:gridCol w:w="1793"/>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责任单位</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  注</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6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415.75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中央食品药品监管补助经费</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财务科（食品、药品监管科室配合）</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37.64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市场监管中央专项补助经费</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稽查科</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市场监管中央专项对下补助经费</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财务科</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中央资金（对下）</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省知识产权示范园区建设项目补助经费</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知产科</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省级资金（对下）</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省级食品安全监管专项补助资金</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质检中心</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103.45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省抽药品检验专项补助资金</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食药检所</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省级食品安全监管专项补助经费</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食药检所</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187.50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中央食品药品监管补助资金</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药评中心</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中央资金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2021年度创业担保贷款工作业务经费</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12315中心</w:t>
            </w:r>
          </w:p>
        </w:tc>
        <w:tc>
          <w:tcPr>
            <w:tcW w:w="1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省级资金</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0.79 </w:t>
            </w:r>
          </w:p>
        </w:tc>
      </w:tr>
    </w:tbl>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pPr>
      <w:r>
        <w:rPr>
          <w:rFonts w:ascii="仿宋" w:hAnsi="仿宋" w:eastAsia="仿宋" w:cs="仿宋"/>
          <w:i w:val="0"/>
          <w:strike w:val="0"/>
          <w:color w:val="000000"/>
          <w:sz w:val="30"/>
          <w:u w:val="none"/>
        </w:rPr>
        <w:t>（3）部门“三公”经费</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lang w:val="en-US" w:eastAsia="zh-CN"/>
        </w:rPr>
      </w:pPr>
      <w:r>
        <w:rPr>
          <w:rFonts w:ascii="仿宋" w:hAnsi="仿宋" w:eastAsia="仿宋" w:cs="仿宋"/>
          <w:i w:val="0"/>
          <w:strike w:val="0"/>
          <w:color w:val="000000"/>
          <w:sz w:val="30"/>
          <w:u w:val="none"/>
        </w:rPr>
        <w:t>202</w:t>
      </w:r>
      <w:r>
        <w:rPr>
          <w:rFonts w:hint="eastAsia" w:hAnsi="仿宋" w:cs="仿宋"/>
          <w:i w:val="0"/>
          <w:strike w:val="0"/>
          <w:color w:val="000000"/>
          <w:sz w:val="30"/>
          <w:u w:val="none"/>
          <w:lang w:val="en-US" w:eastAsia="zh-CN"/>
        </w:rPr>
        <w:t>2</w:t>
      </w:r>
      <w:r>
        <w:rPr>
          <w:rFonts w:ascii="仿宋" w:hAnsi="仿宋" w:eastAsia="仿宋" w:cs="仿宋"/>
          <w:i w:val="0"/>
          <w:strike w:val="0"/>
          <w:color w:val="000000"/>
          <w:sz w:val="30"/>
          <w:u w:val="none"/>
        </w:rPr>
        <w:t>年市</w:t>
      </w:r>
      <w:r>
        <w:rPr>
          <w:rFonts w:hint="eastAsia" w:hAnsi="仿宋" w:cs="仿宋"/>
          <w:i w:val="0"/>
          <w:strike w:val="0"/>
          <w:color w:val="000000"/>
          <w:sz w:val="30"/>
          <w:u w:val="none"/>
          <w:lang w:val="en-US" w:eastAsia="zh-CN"/>
        </w:rPr>
        <w:t>市场监督管理局</w:t>
      </w:r>
      <w:r>
        <w:rPr>
          <w:rFonts w:ascii="仿宋" w:hAnsi="仿宋" w:eastAsia="仿宋" w:cs="仿宋"/>
          <w:i w:val="0"/>
          <w:strike w:val="0"/>
          <w:color w:val="000000"/>
          <w:sz w:val="30"/>
          <w:u w:val="none"/>
        </w:rPr>
        <w:t>“三公”经费安排</w:t>
      </w:r>
      <w:r>
        <w:rPr>
          <w:rFonts w:hint="eastAsia" w:hAnsi="仿宋" w:cs="仿宋"/>
          <w:i w:val="0"/>
          <w:strike w:val="0"/>
          <w:color w:val="000000"/>
          <w:sz w:val="30"/>
          <w:u w:val="none"/>
          <w:lang w:val="en-US" w:eastAsia="zh-CN"/>
        </w:rPr>
        <w:t>50.12</w:t>
      </w:r>
      <w:r>
        <w:rPr>
          <w:rFonts w:ascii="仿宋" w:hAnsi="仿宋" w:eastAsia="仿宋" w:cs="仿宋"/>
          <w:i w:val="0"/>
          <w:strike w:val="0"/>
          <w:color w:val="000000"/>
          <w:sz w:val="30"/>
          <w:u w:val="none"/>
        </w:rPr>
        <w:t>万元，较上年</w:t>
      </w:r>
      <w:r>
        <w:rPr>
          <w:rFonts w:hint="eastAsia" w:hAnsi="仿宋" w:cs="仿宋"/>
          <w:i w:val="0"/>
          <w:strike w:val="0"/>
          <w:color w:val="000000"/>
          <w:sz w:val="30"/>
          <w:u w:val="none"/>
          <w:lang w:val="en-US" w:eastAsia="zh-CN"/>
        </w:rPr>
        <w:t>减少</w:t>
      </w:r>
      <w:r>
        <w:rPr>
          <w:rFonts w:hint="default" w:hAnsi="仿宋" w:cs="仿宋"/>
          <w:i w:val="0"/>
          <w:strike w:val="0"/>
          <w:color w:val="000000"/>
          <w:sz w:val="30"/>
          <w:highlight w:val="none"/>
          <w:u w:val="none"/>
          <w:lang w:eastAsia="zh-CN"/>
        </w:rPr>
        <w:t>10.41</w:t>
      </w:r>
      <w:r>
        <w:rPr>
          <w:rFonts w:ascii="仿宋" w:hAnsi="仿宋" w:eastAsia="仿宋" w:cs="仿宋"/>
          <w:i w:val="0"/>
          <w:strike w:val="0"/>
          <w:color w:val="000000"/>
          <w:sz w:val="30"/>
          <w:u w:val="none"/>
        </w:rPr>
        <w:t>万元，</w:t>
      </w:r>
      <w:r>
        <w:rPr>
          <w:rFonts w:hint="eastAsia" w:hAnsi="仿宋" w:cs="仿宋"/>
          <w:i w:val="0"/>
          <w:strike w:val="0"/>
          <w:color w:val="000000"/>
          <w:sz w:val="30"/>
          <w:u w:val="none"/>
          <w:lang w:val="en-US" w:eastAsia="zh-CN"/>
        </w:rPr>
        <w:t>减幅17.20</w:t>
      </w:r>
      <w:r>
        <w:rPr>
          <w:rFonts w:ascii="仿宋" w:hAnsi="仿宋" w:eastAsia="仿宋" w:cs="仿宋"/>
          <w:i w:val="0"/>
          <w:strike w:val="0"/>
          <w:color w:val="000000"/>
          <w:sz w:val="30"/>
          <w:u w:val="none"/>
        </w:rPr>
        <w:t>%，其中：公务接待费</w:t>
      </w:r>
      <w:r>
        <w:rPr>
          <w:rFonts w:hint="eastAsia" w:hAnsi="仿宋" w:cs="仿宋"/>
          <w:i w:val="0"/>
          <w:strike w:val="0"/>
          <w:color w:val="000000"/>
          <w:sz w:val="30"/>
          <w:u w:val="none"/>
          <w:lang w:val="en-US" w:eastAsia="zh-CN"/>
        </w:rPr>
        <w:t>8.30</w:t>
      </w:r>
      <w:r>
        <w:rPr>
          <w:rFonts w:ascii="仿宋" w:hAnsi="仿宋" w:eastAsia="仿宋" w:cs="仿宋"/>
          <w:i w:val="0"/>
          <w:strike w:val="0"/>
          <w:color w:val="000000"/>
          <w:sz w:val="30"/>
          <w:u w:val="none"/>
        </w:rPr>
        <w:t>万元，与上年（</w:t>
      </w:r>
      <w:r>
        <w:rPr>
          <w:rFonts w:hint="eastAsia" w:hAnsi="仿宋" w:cs="仿宋"/>
          <w:i w:val="0"/>
          <w:strike w:val="0"/>
          <w:color w:val="000000"/>
          <w:sz w:val="30"/>
          <w:u w:val="none"/>
          <w:lang w:val="en-US" w:eastAsia="zh-CN"/>
        </w:rPr>
        <w:t>8.50</w:t>
      </w:r>
      <w:r>
        <w:rPr>
          <w:rFonts w:ascii="仿宋" w:hAnsi="仿宋" w:eastAsia="仿宋" w:cs="仿宋"/>
          <w:i w:val="0"/>
          <w:strike w:val="0"/>
          <w:color w:val="000000"/>
          <w:sz w:val="30"/>
          <w:u w:val="none"/>
        </w:rPr>
        <w:t>万元）对比</w:t>
      </w:r>
      <w:r>
        <w:rPr>
          <w:rFonts w:hint="eastAsia" w:hAnsi="仿宋" w:cs="仿宋"/>
          <w:i w:val="0"/>
          <w:strike w:val="0"/>
          <w:color w:val="000000"/>
          <w:sz w:val="30"/>
          <w:u w:val="none"/>
          <w:lang w:val="en-US" w:eastAsia="zh-CN"/>
        </w:rPr>
        <w:t>减少0.20</w:t>
      </w:r>
      <w:r>
        <w:rPr>
          <w:rFonts w:ascii="仿宋" w:hAnsi="仿宋" w:eastAsia="仿宋" w:cs="仿宋"/>
          <w:i w:val="0"/>
          <w:strike w:val="0"/>
          <w:color w:val="000000"/>
          <w:sz w:val="30"/>
          <w:u w:val="none"/>
        </w:rPr>
        <w:t>万元；因公出国（境）费0</w:t>
      </w:r>
      <w:r>
        <w:rPr>
          <w:rFonts w:hint="eastAsia" w:hAnsi="仿宋" w:cs="仿宋"/>
          <w:i w:val="0"/>
          <w:strike w:val="0"/>
          <w:color w:val="000000"/>
          <w:sz w:val="30"/>
          <w:u w:val="none"/>
          <w:lang w:val="en-US" w:eastAsia="zh-CN"/>
        </w:rPr>
        <w:t>.00</w:t>
      </w:r>
      <w:r>
        <w:rPr>
          <w:rFonts w:ascii="仿宋" w:hAnsi="仿宋" w:eastAsia="仿宋" w:cs="仿宋"/>
          <w:i w:val="0"/>
          <w:strike w:val="0"/>
          <w:color w:val="000000"/>
          <w:sz w:val="30"/>
          <w:u w:val="none"/>
        </w:rPr>
        <w:t>万元，与上年相比无增减变化；公务用车购置费及运行费</w:t>
      </w:r>
      <w:r>
        <w:rPr>
          <w:rFonts w:hint="eastAsia" w:hAnsi="仿宋" w:cs="仿宋"/>
          <w:i w:val="0"/>
          <w:strike w:val="0"/>
          <w:color w:val="000000"/>
          <w:sz w:val="30"/>
          <w:u w:val="none"/>
          <w:lang w:val="en-US" w:eastAsia="zh-CN"/>
        </w:rPr>
        <w:t>41.82</w:t>
      </w:r>
      <w:r>
        <w:rPr>
          <w:rFonts w:ascii="仿宋" w:hAnsi="仿宋" w:eastAsia="仿宋" w:cs="仿宋"/>
          <w:i w:val="0"/>
          <w:strike w:val="0"/>
          <w:color w:val="000000"/>
          <w:sz w:val="30"/>
          <w:u w:val="none"/>
        </w:rPr>
        <w:t>万元，与上年对比（</w:t>
      </w:r>
      <w:r>
        <w:rPr>
          <w:rFonts w:hint="eastAsia" w:hAnsi="仿宋" w:cs="仿宋"/>
          <w:i w:val="0"/>
          <w:strike w:val="0"/>
          <w:color w:val="000000"/>
          <w:sz w:val="30"/>
          <w:u w:val="none"/>
          <w:lang w:val="en-US" w:eastAsia="zh-CN"/>
        </w:rPr>
        <w:t>52.03</w:t>
      </w:r>
      <w:r>
        <w:rPr>
          <w:rFonts w:ascii="仿宋" w:hAnsi="仿宋" w:eastAsia="仿宋" w:cs="仿宋"/>
          <w:i w:val="0"/>
          <w:strike w:val="0"/>
          <w:color w:val="000000"/>
          <w:sz w:val="30"/>
          <w:u w:val="none"/>
        </w:rPr>
        <w:t>万元）</w:t>
      </w:r>
      <w:r>
        <w:rPr>
          <w:rFonts w:hint="eastAsia" w:hAnsi="仿宋" w:cs="仿宋"/>
          <w:i w:val="0"/>
          <w:strike w:val="0"/>
          <w:color w:val="000000"/>
          <w:sz w:val="30"/>
          <w:u w:val="none"/>
          <w:lang w:val="en-US" w:eastAsia="zh-CN"/>
        </w:rPr>
        <w:t>减少10.21</w:t>
      </w:r>
      <w:r>
        <w:rPr>
          <w:rFonts w:ascii="仿宋" w:hAnsi="仿宋" w:eastAsia="仿宋" w:cs="仿宋"/>
          <w:i w:val="0"/>
          <w:strike w:val="0"/>
          <w:color w:val="000000"/>
          <w:sz w:val="30"/>
          <w:u w:val="none"/>
        </w:rPr>
        <w:t>万元。</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default" w:ascii="仿宋" w:hAnsi="仿宋" w:eastAsia="仿宋" w:cs="仿宋"/>
          <w:i w:val="0"/>
          <w:strike w:val="0"/>
          <w:color w:val="000000"/>
          <w:sz w:val="30"/>
          <w:highlight w:val="none"/>
          <w:u w:val="none"/>
          <w:lang w:val="en-US" w:eastAsia="zh-CN"/>
        </w:rPr>
      </w:pPr>
      <w:r>
        <w:rPr>
          <w:rFonts w:hint="eastAsia" w:hAnsi="仿宋" w:cs="仿宋"/>
          <w:i w:val="0"/>
          <w:strike w:val="0"/>
          <w:color w:val="000000"/>
          <w:sz w:val="30"/>
          <w:highlight w:val="none"/>
          <w:u w:val="none"/>
          <w:lang w:val="en-US" w:eastAsia="zh-CN"/>
        </w:rPr>
        <w:t>（4）决算情况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color w:val="auto"/>
          <w:highlight w:val="none"/>
        </w:rPr>
      </w:pPr>
      <w:r>
        <w:rPr>
          <w:rFonts w:hint="eastAsia" w:hAnsi="仿宋" w:cs="仿宋"/>
          <w:i w:val="0"/>
          <w:strike w:val="0"/>
          <w:color w:val="auto"/>
          <w:sz w:val="30"/>
          <w:highlight w:val="none"/>
          <w:u w:val="none"/>
          <w:lang w:val="en-US" w:eastAsia="zh-CN"/>
        </w:rPr>
        <w:t>①</w:t>
      </w:r>
      <w:r>
        <w:rPr>
          <w:rFonts w:hint="eastAsia"/>
          <w:color w:val="auto"/>
          <w:highlight w:val="none"/>
        </w:rPr>
        <w:t>部门支出决算总体情况</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rPr>
      </w:pPr>
      <w:r>
        <w:rPr>
          <w:rFonts w:hint="eastAsia"/>
          <w:color w:val="auto"/>
          <w:highlight w:val="none"/>
        </w:rPr>
        <w:t>根据</w:t>
      </w:r>
      <w:r>
        <w:rPr>
          <w:rFonts w:hint="eastAsia"/>
          <w:color w:val="auto"/>
          <w:highlight w:val="none"/>
          <w:lang w:val="en-US" w:eastAsia="zh-CN"/>
        </w:rPr>
        <w:t>市市场监督管理局</w:t>
      </w:r>
      <w:r>
        <w:rPr>
          <w:color w:val="auto"/>
          <w:highlight w:val="none"/>
        </w:rPr>
        <w:t>202</w:t>
      </w:r>
      <w:r>
        <w:rPr>
          <w:rFonts w:hint="eastAsia"/>
          <w:color w:val="auto"/>
          <w:highlight w:val="none"/>
          <w:lang w:val="en-US" w:eastAsia="zh-CN"/>
        </w:rPr>
        <w:t>2</w:t>
      </w:r>
      <w:r>
        <w:rPr>
          <w:rFonts w:hint="eastAsia"/>
          <w:color w:val="auto"/>
          <w:highlight w:val="none"/>
        </w:rPr>
        <w:t>年决</w:t>
      </w:r>
      <w:r>
        <w:rPr>
          <w:rFonts w:hint="eastAsia"/>
        </w:rPr>
        <w:t>算报表，</w:t>
      </w:r>
      <w:r>
        <w:rPr>
          <w:rFonts w:hint="eastAsia"/>
          <w:lang w:val="en-US" w:eastAsia="zh-CN"/>
        </w:rPr>
        <w:t>市市场监督管理局</w:t>
      </w:r>
      <w:r>
        <w:rPr>
          <w:rFonts w:hint="eastAsia"/>
        </w:rPr>
        <w:t>202</w:t>
      </w:r>
      <w:r>
        <w:rPr>
          <w:rFonts w:hint="eastAsia"/>
          <w:lang w:val="en-US" w:eastAsia="zh-CN"/>
        </w:rPr>
        <w:t>2</w:t>
      </w:r>
      <w:r>
        <w:rPr>
          <w:rFonts w:hint="eastAsia"/>
        </w:rPr>
        <w:t>年度支出</w:t>
      </w:r>
      <w:r>
        <w:rPr>
          <w:rFonts w:hint="eastAsia"/>
          <w:highlight w:val="none"/>
          <w:lang w:val="en-US" w:eastAsia="zh-CN"/>
        </w:rPr>
        <w:t>合计</w:t>
      </w:r>
      <w:r>
        <w:rPr>
          <w:rFonts w:hint="eastAsia"/>
          <w:highlight w:val="none"/>
        </w:rPr>
        <w:t>8246</w:t>
      </w:r>
      <w:r>
        <w:rPr>
          <w:rFonts w:hint="eastAsia"/>
          <w:highlight w:val="none"/>
          <w:lang w:val="en-US" w:eastAsia="zh-CN"/>
        </w:rPr>
        <w:t>,</w:t>
      </w:r>
      <w:r>
        <w:rPr>
          <w:rFonts w:hint="eastAsia"/>
          <w:highlight w:val="none"/>
        </w:rPr>
        <w:t>1</w:t>
      </w:r>
      <w:r>
        <w:rPr>
          <w:rFonts w:hint="eastAsia"/>
          <w:highlight w:val="none"/>
          <w:lang w:val="en-US" w:eastAsia="zh-CN"/>
        </w:rPr>
        <w:t>4</w:t>
      </w:r>
      <w:r>
        <w:rPr>
          <w:rFonts w:hint="default"/>
          <w:highlight w:val="none"/>
          <w:lang w:val="en-US" w:eastAsia="zh-CN"/>
        </w:rPr>
        <w:t>万元</w:t>
      </w:r>
      <w:r>
        <w:rPr>
          <w:rFonts w:hint="eastAsia"/>
          <w:lang w:val="en-US" w:eastAsia="zh-CN"/>
        </w:rPr>
        <w:t>。其中：基本支出6,780.01万元，占总支出的82.35%；项目支出887.07万元，占总支出</w:t>
      </w:r>
      <w:r>
        <w:rPr>
          <w:rFonts w:hint="eastAsia"/>
        </w:rPr>
        <w:t>的</w:t>
      </w:r>
      <w:r>
        <w:rPr>
          <w:rFonts w:hint="eastAsia"/>
          <w:lang w:val="en-US" w:eastAsia="zh-CN"/>
        </w:rPr>
        <w:t>10.78</w:t>
      </w:r>
      <w:r>
        <w:rPr>
          <w:rFonts w:hint="eastAsia"/>
        </w:rPr>
        <w:t>%</w:t>
      </w:r>
      <w:r>
        <w:rPr>
          <w:rFonts w:hint="eastAsia"/>
          <w:lang w:val="en-US" w:eastAsia="zh-CN"/>
        </w:rPr>
        <w:t>,经营支出566.16万元，占总支出的6.87%</w:t>
      </w:r>
      <w:r>
        <w:rPr>
          <w:rFonts w:hint="eastAsia"/>
        </w:rPr>
        <w:t>。</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default"/>
          <w:highlight w:val="none"/>
          <w:lang w:val="en-US" w:eastAsia="zh-CN"/>
        </w:rPr>
      </w:pPr>
      <w:r>
        <w:rPr>
          <w:rFonts w:hint="default"/>
          <w:highlight w:val="none"/>
          <w:lang w:val="en-US" w:eastAsia="zh-CN"/>
        </w:rPr>
        <w:t>2022年市市场监督管理局</w:t>
      </w:r>
      <w:r>
        <w:rPr>
          <w:rFonts w:hint="eastAsia"/>
          <w:highlight w:val="none"/>
          <w:lang w:val="en-US" w:eastAsia="zh-CN"/>
        </w:rPr>
        <w:t>全年</w:t>
      </w:r>
      <w:r>
        <w:rPr>
          <w:rFonts w:hint="default"/>
          <w:highlight w:val="none"/>
          <w:lang w:val="en-US" w:eastAsia="zh-CN"/>
        </w:rPr>
        <w:t>预算数8233</w:t>
      </w:r>
      <w:r>
        <w:rPr>
          <w:rFonts w:hint="eastAsia"/>
          <w:highlight w:val="none"/>
          <w:lang w:val="en-US" w:eastAsia="zh-CN"/>
        </w:rPr>
        <w:t>.</w:t>
      </w:r>
      <w:r>
        <w:rPr>
          <w:rFonts w:hint="default"/>
          <w:highlight w:val="none"/>
          <w:lang w:val="en-US" w:eastAsia="zh-CN"/>
        </w:rPr>
        <w:t>2</w:t>
      </w:r>
      <w:r>
        <w:rPr>
          <w:rFonts w:hint="eastAsia"/>
          <w:highlight w:val="none"/>
          <w:lang w:val="en-US" w:eastAsia="zh-CN"/>
        </w:rPr>
        <w:t>4万</w:t>
      </w:r>
      <w:r>
        <w:rPr>
          <w:rFonts w:hint="default"/>
          <w:highlight w:val="none"/>
          <w:lang w:val="en-US" w:eastAsia="zh-CN"/>
        </w:rPr>
        <w:t>元，预算执行数为</w:t>
      </w:r>
      <w:r>
        <w:rPr>
          <w:rFonts w:hint="eastAsia"/>
        </w:rPr>
        <w:t>8246</w:t>
      </w:r>
      <w:r>
        <w:rPr>
          <w:rFonts w:hint="eastAsia"/>
          <w:lang w:val="en-US" w:eastAsia="zh-CN"/>
        </w:rPr>
        <w:t>,</w:t>
      </w:r>
      <w:r>
        <w:rPr>
          <w:rFonts w:hint="eastAsia"/>
        </w:rPr>
        <w:t>1</w:t>
      </w:r>
      <w:r>
        <w:rPr>
          <w:rFonts w:hint="eastAsia"/>
          <w:lang w:val="en-US" w:eastAsia="zh-CN"/>
        </w:rPr>
        <w:t>4</w:t>
      </w:r>
      <w:r>
        <w:rPr>
          <w:rFonts w:hint="eastAsia"/>
          <w:highlight w:val="none"/>
          <w:lang w:val="en-US" w:eastAsia="zh-CN"/>
        </w:rPr>
        <w:t>万</w:t>
      </w:r>
      <w:r>
        <w:rPr>
          <w:rFonts w:hint="default"/>
          <w:highlight w:val="none"/>
          <w:lang w:val="en-US" w:eastAsia="zh-CN"/>
        </w:rPr>
        <w:t>元，预算执行率为</w:t>
      </w:r>
      <w:r>
        <w:rPr>
          <w:rFonts w:hint="eastAsia"/>
          <w:highlight w:val="none"/>
          <w:lang w:val="en-US" w:eastAsia="zh-CN"/>
        </w:rPr>
        <w:t>100</w:t>
      </w:r>
      <w:r>
        <w:rPr>
          <w:rFonts w:hint="default"/>
          <w:highlight w:val="none"/>
          <w:lang w:val="en-US" w:eastAsia="zh-CN"/>
        </w:rPr>
        <w:t>%</w:t>
      </w:r>
      <w:r>
        <w:rPr>
          <w:rStyle w:val="27"/>
          <w:rFonts w:hint="default"/>
          <w:highlight w:val="none"/>
          <w:lang w:val="en-US" w:eastAsia="zh-CN"/>
        </w:rPr>
        <w:footnoteReference w:id="1"/>
      </w:r>
      <w:r>
        <w:rPr>
          <w:rFonts w:hint="default"/>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default" w:eastAsia="仿宋"/>
          <w:highlight w:val="none"/>
          <w:lang w:val="en-US" w:eastAsia="zh-CN"/>
        </w:rPr>
      </w:pPr>
      <w:r>
        <w:rPr>
          <w:rFonts w:hint="eastAsia" w:hAnsi="仿宋" w:cs="仿宋"/>
          <w:i w:val="0"/>
          <w:strike w:val="0"/>
          <w:color w:val="000000"/>
          <w:sz w:val="30"/>
          <w:highlight w:val="none"/>
          <w:u w:val="none"/>
          <w:lang w:val="en-US" w:eastAsia="zh-CN"/>
        </w:rPr>
        <w:t>②</w:t>
      </w:r>
      <w:r>
        <w:rPr>
          <w:rFonts w:ascii="仿宋" w:hAnsi="仿宋" w:eastAsia="仿宋" w:cs="仿宋"/>
          <w:i w:val="0"/>
          <w:strike w:val="0"/>
          <w:color w:val="000000"/>
          <w:sz w:val="30"/>
          <w:highlight w:val="none"/>
          <w:u w:val="none"/>
        </w:rPr>
        <w:t>部门“三公”经费</w:t>
      </w:r>
      <w:r>
        <w:rPr>
          <w:rFonts w:hint="eastAsia" w:hAnsi="仿宋" w:cs="仿宋"/>
          <w:i w:val="0"/>
          <w:strike w:val="0"/>
          <w:color w:val="000000"/>
          <w:sz w:val="30"/>
          <w:highlight w:val="none"/>
          <w:u w:val="none"/>
          <w:lang w:val="en-US" w:eastAsia="zh-CN"/>
        </w:rPr>
        <w:t>决算情况</w:t>
      </w:r>
    </w:p>
    <w:p>
      <w:pPr>
        <w:keepNext w:val="0"/>
        <w:keepLines w:val="0"/>
        <w:pageBreakBefore w:val="0"/>
        <w:widowControl w:val="0"/>
        <w:kinsoku/>
        <w:wordWrap/>
        <w:overflowPunct/>
        <w:topLinePunct w:val="0"/>
        <w:autoSpaceDE/>
        <w:autoSpaceDN/>
        <w:bidi w:val="0"/>
        <w:adjustRightInd/>
        <w:snapToGrid w:val="0"/>
        <w:spacing w:line="590" w:lineRule="exact"/>
        <w:ind w:firstLine="63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202</w:t>
      </w:r>
      <w:r>
        <w:rPr>
          <w:rFonts w:hint="eastAsia" w:hAnsi="仿宋" w:cs="仿宋"/>
          <w:sz w:val="30"/>
          <w:szCs w:val="30"/>
          <w:lang w:val="en-US" w:eastAsia="zh-CN"/>
        </w:rPr>
        <w:t>2</w:t>
      </w:r>
      <w:r>
        <w:rPr>
          <w:rFonts w:hint="eastAsia" w:ascii="仿宋" w:hAnsi="仿宋" w:eastAsia="仿宋" w:cs="仿宋"/>
          <w:sz w:val="30"/>
          <w:szCs w:val="30"/>
        </w:rPr>
        <w:t>年“三公”经费支出数合计</w:t>
      </w:r>
      <w:r>
        <w:rPr>
          <w:rFonts w:hint="eastAsia" w:hAnsi="仿宋" w:cs="仿宋"/>
          <w:sz w:val="30"/>
          <w:szCs w:val="30"/>
          <w:lang w:val="en-US" w:eastAsia="zh-CN"/>
        </w:rPr>
        <w:t>102.38</w:t>
      </w:r>
      <w:r>
        <w:rPr>
          <w:rFonts w:hint="eastAsia" w:ascii="仿宋" w:hAnsi="仿宋" w:eastAsia="仿宋" w:cs="仿宋"/>
          <w:sz w:val="30"/>
          <w:szCs w:val="30"/>
          <w:lang w:val="en-US" w:eastAsia="zh-CN"/>
        </w:rPr>
        <w:t>万</w:t>
      </w:r>
      <w:r>
        <w:rPr>
          <w:rFonts w:hint="eastAsia" w:ascii="仿宋" w:hAnsi="仿宋" w:eastAsia="仿宋" w:cs="仿宋"/>
          <w:sz w:val="30"/>
          <w:szCs w:val="30"/>
        </w:rPr>
        <w:t>元，其中公务接待费</w:t>
      </w:r>
      <w:r>
        <w:rPr>
          <w:rFonts w:hint="eastAsia" w:hAnsi="仿宋" w:cs="仿宋"/>
          <w:sz w:val="30"/>
          <w:szCs w:val="30"/>
          <w:lang w:val="en-US" w:eastAsia="zh-CN"/>
        </w:rPr>
        <w:t>3.47</w:t>
      </w:r>
      <w:r>
        <w:rPr>
          <w:rFonts w:hint="eastAsia" w:ascii="仿宋" w:hAnsi="仿宋" w:eastAsia="仿宋" w:cs="仿宋"/>
          <w:sz w:val="30"/>
          <w:szCs w:val="30"/>
          <w:lang w:val="en-US" w:eastAsia="zh-CN"/>
        </w:rPr>
        <w:t>万</w:t>
      </w:r>
      <w:r>
        <w:rPr>
          <w:rFonts w:hint="eastAsia" w:ascii="仿宋" w:hAnsi="仿宋" w:eastAsia="仿宋" w:cs="仿宋"/>
          <w:sz w:val="30"/>
          <w:szCs w:val="30"/>
        </w:rPr>
        <w:t>元、公务用车购置</w:t>
      </w:r>
      <w:r>
        <w:rPr>
          <w:rFonts w:hint="eastAsia" w:hAnsi="仿宋" w:cs="仿宋"/>
          <w:sz w:val="30"/>
          <w:szCs w:val="30"/>
          <w:lang w:val="en-US" w:eastAsia="zh-CN"/>
        </w:rPr>
        <w:t>57.18万元，</w:t>
      </w:r>
      <w:r>
        <w:rPr>
          <w:rFonts w:hint="eastAsia" w:ascii="仿宋" w:hAnsi="仿宋" w:eastAsia="仿宋" w:cs="仿宋"/>
          <w:sz w:val="30"/>
          <w:szCs w:val="30"/>
        </w:rPr>
        <w:t>公务用车运行维护费</w:t>
      </w:r>
      <w:r>
        <w:rPr>
          <w:rFonts w:hint="eastAsia" w:hAnsi="仿宋" w:cs="仿宋"/>
          <w:sz w:val="30"/>
          <w:szCs w:val="30"/>
          <w:lang w:val="en-US" w:eastAsia="zh-CN"/>
        </w:rPr>
        <w:t>41.73</w:t>
      </w:r>
      <w:r>
        <w:rPr>
          <w:rFonts w:hint="eastAsia" w:ascii="仿宋" w:hAnsi="仿宋" w:eastAsia="仿宋" w:cs="仿宋"/>
          <w:sz w:val="30"/>
          <w:szCs w:val="30"/>
          <w:lang w:eastAsia="zh-CN"/>
        </w:rPr>
        <w:t>万</w:t>
      </w:r>
      <w:r>
        <w:rPr>
          <w:rFonts w:hint="eastAsia" w:ascii="仿宋" w:hAnsi="仿宋" w:eastAsia="仿宋" w:cs="仿宋"/>
          <w:sz w:val="30"/>
          <w:szCs w:val="30"/>
        </w:rPr>
        <w:t>元</w:t>
      </w:r>
      <w:r>
        <w:rPr>
          <w:rFonts w:hint="eastAsia" w:hAnsi="仿宋" w:cs="仿宋"/>
          <w:sz w:val="30"/>
          <w:szCs w:val="30"/>
          <w:lang w:eastAsia="zh-CN"/>
        </w:rPr>
        <w:t>，</w:t>
      </w:r>
      <w:r>
        <w:rPr>
          <w:rFonts w:hint="eastAsia" w:hAnsi="仿宋" w:cs="仿宋"/>
          <w:sz w:val="30"/>
          <w:szCs w:val="30"/>
          <w:lang w:val="en-US" w:eastAsia="zh-CN"/>
        </w:rPr>
        <w:t>因公出国（境）0万元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三公”经费总支出均较上年增加。具体详见下表</w:t>
      </w:r>
    </w:p>
    <w:p>
      <w:pPr>
        <w:snapToGrid w:val="0"/>
        <w:jc w:val="center"/>
        <w:rPr>
          <w:rFonts w:hint="eastAsia" w:ascii="黑体" w:hAnsi="黑体" w:eastAsia="黑体" w:cs="黑体"/>
          <w:i w:val="0"/>
          <w:strike w:val="0"/>
          <w:color w:val="000000"/>
          <w:sz w:val="24"/>
          <w:szCs w:val="20"/>
          <w:u w:val="none"/>
          <w:lang w:val="en-US" w:eastAsia="zh-CN"/>
        </w:rPr>
      </w:pPr>
      <w:r>
        <w:rPr>
          <w:rFonts w:ascii="黑体" w:hAnsi="黑体" w:eastAsia="黑体" w:cs="黑体"/>
          <w:i w:val="0"/>
          <w:strike w:val="0"/>
          <w:color w:val="000000"/>
          <w:sz w:val="24"/>
          <w:szCs w:val="20"/>
          <w:u w:val="none"/>
        </w:rPr>
        <w:t>表</w:t>
      </w:r>
      <w:r>
        <w:rPr>
          <w:rFonts w:hint="eastAsia" w:ascii="黑体" w:hAnsi="黑体" w:eastAsia="黑体" w:cs="黑体"/>
          <w:i w:val="0"/>
          <w:strike w:val="0"/>
          <w:color w:val="000000"/>
          <w:sz w:val="24"/>
          <w:szCs w:val="20"/>
          <w:u w:val="none"/>
          <w:lang w:val="en-US" w:eastAsia="zh-CN"/>
        </w:rPr>
        <w:t>4</w:t>
      </w:r>
      <w:r>
        <w:rPr>
          <w:rFonts w:ascii="黑体" w:hAnsi="黑体" w:eastAsia="黑体" w:cs="黑体"/>
          <w:i w:val="0"/>
          <w:strike w:val="0"/>
          <w:color w:val="000000"/>
          <w:sz w:val="24"/>
          <w:szCs w:val="20"/>
          <w:u w:val="none"/>
        </w:rPr>
        <w:t>：</w:t>
      </w:r>
      <w:r>
        <w:rPr>
          <w:rFonts w:hint="eastAsia" w:ascii="黑体" w:hAnsi="黑体" w:eastAsia="黑体" w:cs="黑体"/>
          <w:i w:val="0"/>
          <w:strike w:val="0"/>
          <w:color w:val="000000"/>
          <w:sz w:val="24"/>
          <w:szCs w:val="20"/>
          <w:u w:val="none"/>
          <w:lang w:val="en-US" w:eastAsia="zh-CN"/>
        </w:rPr>
        <w:t>“三公”经费使用对比表</w:t>
      </w:r>
    </w:p>
    <w:p>
      <w:pPr>
        <w:pStyle w:val="8"/>
        <w:keepNext w:val="0"/>
        <w:keepLines w:val="0"/>
        <w:pageBreakBefore w:val="0"/>
        <w:widowControl w:val="0"/>
        <w:kinsoku/>
        <w:wordWrap/>
        <w:overflowPunct/>
        <w:topLinePunct w:val="0"/>
        <w:autoSpaceDE/>
        <w:autoSpaceDN/>
        <w:bidi w:val="0"/>
        <w:adjustRightInd/>
        <w:snapToGrid/>
        <w:jc w:val="right"/>
        <w:textAlignment w:val="auto"/>
        <w:rPr>
          <w:rFonts w:hint="default"/>
          <w:lang w:val="en-US" w:eastAsia="zh-CN"/>
        </w:rPr>
      </w:pPr>
      <w:r>
        <w:rPr>
          <w:rFonts w:hint="eastAsia" w:ascii="黑体" w:hAnsi="黑体" w:eastAsia="黑体" w:cs="黑体"/>
          <w:i w:val="0"/>
          <w:strike w:val="0"/>
          <w:color w:val="000000"/>
          <w:sz w:val="24"/>
          <w:szCs w:val="20"/>
          <w:u w:val="none"/>
          <w:lang w:val="en-US" w:eastAsia="zh-CN"/>
        </w:rPr>
        <w:t>单位：万元</w:t>
      </w:r>
    </w:p>
    <w:tbl>
      <w:tblPr>
        <w:tblStyle w:val="21"/>
        <w:tblW w:w="884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859"/>
        <w:gridCol w:w="2519"/>
        <w:gridCol w:w="1822"/>
        <w:gridCol w:w="1822"/>
        <w:gridCol w:w="18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544" w:hRule="atLeast"/>
          <w:jc w:val="center"/>
        </w:trPr>
        <w:tc>
          <w:tcPr>
            <w:tcW w:w="859" w:type="dxa"/>
            <w:vAlign w:val="center"/>
          </w:tcPr>
          <w:p>
            <w:pPr>
              <w:spacing w:line="300" w:lineRule="exact"/>
              <w:jc w:val="center"/>
              <w:rPr>
                <w:rFonts w:hint="eastAsia" w:ascii="仿宋" w:hAnsi="仿宋" w:eastAsia="仿宋" w:cs="仿宋"/>
                <w:b/>
                <w:bCs/>
                <w:sz w:val="20"/>
                <w:szCs w:val="20"/>
              </w:rPr>
            </w:pPr>
            <w:r>
              <w:rPr>
                <w:rFonts w:hint="eastAsia" w:ascii="仿宋" w:hAnsi="仿宋" w:eastAsia="仿宋" w:cs="仿宋"/>
                <w:b/>
                <w:bCs/>
                <w:sz w:val="20"/>
                <w:szCs w:val="20"/>
              </w:rPr>
              <w:t>序号</w:t>
            </w:r>
          </w:p>
        </w:tc>
        <w:tc>
          <w:tcPr>
            <w:tcW w:w="2519" w:type="dxa"/>
            <w:vAlign w:val="center"/>
          </w:tcPr>
          <w:p>
            <w:pPr>
              <w:spacing w:line="300" w:lineRule="exact"/>
              <w:jc w:val="center"/>
              <w:rPr>
                <w:rFonts w:hint="eastAsia" w:ascii="仿宋" w:hAnsi="仿宋" w:eastAsia="仿宋" w:cs="仿宋"/>
                <w:b/>
                <w:bCs/>
                <w:sz w:val="20"/>
                <w:szCs w:val="20"/>
              </w:rPr>
            </w:pPr>
            <w:r>
              <w:rPr>
                <w:rFonts w:hint="eastAsia" w:ascii="仿宋" w:hAnsi="仿宋" w:eastAsia="仿宋" w:cs="仿宋"/>
                <w:b/>
                <w:bCs/>
                <w:sz w:val="20"/>
                <w:szCs w:val="20"/>
              </w:rPr>
              <w:t>费用名称</w:t>
            </w:r>
          </w:p>
        </w:tc>
        <w:tc>
          <w:tcPr>
            <w:tcW w:w="1822" w:type="dxa"/>
            <w:vAlign w:val="center"/>
          </w:tcPr>
          <w:p>
            <w:pPr>
              <w:spacing w:line="300" w:lineRule="exact"/>
              <w:jc w:val="center"/>
              <w:rPr>
                <w:rFonts w:hint="eastAsia" w:ascii="仿宋" w:hAnsi="仿宋" w:eastAsia="仿宋" w:cs="仿宋"/>
                <w:b/>
                <w:bCs/>
                <w:sz w:val="20"/>
                <w:szCs w:val="20"/>
              </w:rPr>
            </w:pPr>
            <w:r>
              <w:rPr>
                <w:rFonts w:hint="eastAsia" w:ascii="仿宋" w:hAnsi="仿宋" w:eastAsia="仿宋" w:cs="仿宋"/>
                <w:b/>
                <w:bCs/>
                <w:sz w:val="20"/>
                <w:szCs w:val="20"/>
              </w:rPr>
              <w:t>20</w:t>
            </w:r>
            <w:r>
              <w:rPr>
                <w:rFonts w:hint="eastAsia" w:ascii="仿宋" w:hAnsi="仿宋" w:eastAsia="仿宋" w:cs="仿宋"/>
                <w:b/>
                <w:bCs/>
                <w:sz w:val="20"/>
                <w:szCs w:val="20"/>
                <w:lang w:val="en-US" w:eastAsia="zh-CN"/>
              </w:rPr>
              <w:t>2</w:t>
            </w:r>
            <w:r>
              <w:rPr>
                <w:rFonts w:hint="eastAsia" w:hAnsi="仿宋" w:cs="仿宋"/>
                <w:b/>
                <w:bCs/>
                <w:sz w:val="20"/>
                <w:szCs w:val="20"/>
                <w:lang w:val="en-US" w:eastAsia="zh-CN"/>
              </w:rPr>
              <w:t>1</w:t>
            </w:r>
            <w:r>
              <w:rPr>
                <w:rFonts w:hint="eastAsia" w:ascii="仿宋" w:hAnsi="仿宋" w:eastAsia="仿宋" w:cs="仿宋"/>
                <w:b/>
                <w:bCs/>
                <w:sz w:val="20"/>
                <w:szCs w:val="20"/>
              </w:rPr>
              <w:t>年支出数</w:t>
            </w:r>
          </w:p>
        </w:tc>
        <w:tc>
          <w:tcPr>
            <w:tcW w:w="1822" w:type="dxa"/>
            <w:vAlign w:val="center"/>
          </w:tcPr>
          <w:p>
            <w:pPr>
              <w:spacing w:line="30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hAnsi="仿宋" w:cs="仿宋"/>
                <w:b/>
                <w:bCs/>
                <w:sz w:val="20"/>
                <w:szCs w:val="20"/>
                <w:lang w:val="en-US" w:eastAsia="zh-CN"/>
              </w:rPr>
              <w:t>2</w:t>
            </w:r>
            <w:r>
              <w:rPr>
                <w:rFonts w:hint="eastAsia" w:ascii="仿宋" w:hAnsi="仿宋" w:eastAsia="仿宋" w:cs="仿宋"/>
                <w:b/>
                <w:bCs/>
                <w:sz w:val="20"/>
                <w:szCs w:val="20"/>
              </w:rPr>
              <w:t>年预算数</w:t>
            </w:r>
          </w:p>
        </w:tc>
        <w:tc>
          <w:tcPr>
            <w:tcW w:w="1822" w:type="dxa"/>
            <w:vAlign w:val="center"/>
          </w:tcPr>
          <w:p>
            <w:pPr>
              <w:spacing w:line="300" w:lineRule="exact"/>
              <w:jc w:val="center"/>
              <w:rPr>
                <w:rFonts w:hint="eastAsia" w:ascii="仿宋" w:hAnsi="仿宋" w:eastAsia="仿宋" w:cs="仿宋"/>
                <w:b/>
                <w:bCs/>
                <w:sz w:val="20"/>
                <w:szCs w:val="20"/>
              </w:rPr>
            </w:pPr>
            <w:r>
              <w:rPr>
                <w:rFonts w:hint="eastAsia" w:ascii="仿宋" w:hAnsi="仿宋" w:eastAsia="仿宋" w:cs="仿宋"/>
                <w:b/>
                <w:bCs/>
                <w:sz w:val="20"/>
                <w:szCs w:val="20"/>
              </w:rPr>
              <w:t>202</w:t>
            </w:r>
            <w:r>
              <w:rPr>
                <w:rFonts w:hint="eastAsia" w:hAnsi="仿宋" w:cs="仿宋"/>
                <w:b/>
                <w:bCs/>
                <w:sz w:val="20"/>
                <w:szCs w:val="20"/>
                <w:lang w:val="en-US" w:eastAsia="zh-CN"/>
              </w:rPr>
              <w:t>2</w:t>
            </w:r>
            <w:r>
              <w:rPr>
                <w:rFonts w:hint="eastAsia" w:ascii="仿宋" w:hAnsi="仿宋" w:eastAsia="仿宋" w:cs="仿宋"/>
                <w:b/>
                <w:bCs/>
                <w:sz w:val="20"/>
                <w:szCs w:val="20"/>
              </w:rPr>
              <w:t>年支出数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494" w:hRule="atLeast"/>
          <w:jc w:val="center"/>
        </w:trPr>
        <w:tc>
          <w:tcPr>
            <w:tcW w:w="859" w:type="dxa"/>
            <w:vAlign w:val="center"/>
          </w:tcPr>
          <w:p>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1</w:t>
            </w:r>
          </w:p>
        </w:tc>
        <w:tc>
          <w:tcPr>
            <w:tcW w:w="2519" w:type="dxa"/>
            <w:vAlign w:val="center"/>
          </w:tcPr>
          <w:p>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公务接待费</w:t>
            </w:r>
          </w:p>
        </w:tc>
        <w:tc>
          <w:tcPr>
            <w:tcW w:w="1822" w:type="dxa"/>
            <w:vAlign w:val="center"/>
          </w:tcPr>
          <w:p>
            <w:pPr>
              <w:spacing w:line="300" w:lineRule="exact"/>
              <w:jc w:val="right"/>
              <w:rPr>
                <w:rFonts w:hint="default" w:ascii="仿宋" w:hAnsi="仿宋" w:eastAsia="仿宋" w:cs="仿宋"/>
                <w:sz w:val="20"/>
                <w:szCs w:val="20"/>
                <w:lang w:val="en-US" w:eastAsia="zh-CN"/>
              </w:rPr>
            </w:pPr>
            <w:r>
              <w:rPr>
                <w:rFonts w:hint="eastAsia" w:hAnsi="仿宋" w:cs="仿宋"/>
                <w:sz w:val="20"/>
                <w:szCs w:val="20"/>
                <w:lang w:val="en-US" w:eastAsia="zh-CN"/>
              </w:rPr>
              <w:t>5.05</w:t>
            </w:r>
          </w:p>
        </w:tc>
        <w:tc>
          <w:tcPr>
            <w:tcW w:w="1822" w:type="dxa"/>
            <w:vAlign w:val="center"/>
          </w:tcPr>
          <w:p>
            <w:pPr>
              <w:spacing w:line="300" w:lineRule="exact"/>
              <w:jc w:val="right"/>
              <w:rPr>
                <w:rFonts w:hint="default" w:ascii="仿宋" w:hAnsi="仿宋" w:eastAsia="仿宋" w:cs="仿宋"/>
                <w:sz w:val="20"/>
                <w:szCs w:val="20"/>
                <w:lang w:val="en-US" w:eastAsia="zh-CN"/>
              </w:rPr>
            </w:pPr>
            <w:r>
              <w:rPr>
                <w:rFonts w:hint="eastAsia" w:hAnsi="仿宋" w:cs="仿宋"/>
                <w:sz w:val="20"/>
                <w:szCs w:val="20"/>
                <w:lang w:val="en-US" w:eastAsia="zh-CN"/>
              </w:rPr>
              <w:t>8.30</w:t>
            </w:r>
          </w:p>
        </w:tc>
        <w:tc>
          <w:tcPr>
            <w:tcW w:w="1822" w:type="dxa"/>
            <w:vAlign w:val="center"/>
          </w:tcPr>
          <w:p>
            <w:pPr>
              <w:spacing w:line="300" w:lineRule="exact"/>
              <w:jc w:val="right"/>
              <w:rPr>
                <w:rFonts w:hint="default" w:ascii="仿宋" w:hAnsi="仿宋" w:eastAsia="仿宋" w:cs="仿宋"/>
                <w:sz w:val="20"/>
                <w:szCs w:val="20"/>
                <w:lang w:val="en-US" w:eastAsia="zh-CN"/>
              </w:rPr>
            </w:pPr>
            <w:r>
              <w:rPr>
                <w:rFonts w:hint="eastAsia" w:hAnsi="仿宋" w:cs="仿宋"/>
                <w:sz w:val="20"/>
                <w:szCs w:val="20"/>
                <w:lang w:val="en-US" w:eastAsia="zh-CN"/>
              </w:rPr>
              <w:t>3.47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249" w:hRule="atLeast"/>
          <w:jc w:val="center"/>
        </w:trPr>
        <w:tc>
          <w:tcPr>
            <w:tcW w:w="859" w:type="dxa"/>
            <w:vAlign w:val="center"/>
          </w:tcPr>
          <w:p>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2</w:t>
            </w:r>
          </w:p>
        </w:tc>
        <w:tc>
          <w:tcPr>
            <w:tcW w:w="2519" w:type="dxa"/>
            <w:vAlign w:val="center"/>
          </w:tcPr>
          <w:p>
            <w:pPr>
              <w:spacing w:line="300" w:lineRule="exact"/>
              <w:jc w:val="center"/>
              <w:rPr>
                <w:rFonts w:hint="eastAsia" w:ascii="仿宋" w:hAnsi="仿宋" w:eastAsia="仿宋" w:cs="仿宋"/>
                <w:sz w:val="20"/>
                <w:szCs w:val="20"/>
              </w:rPr>
            </w:pPr>
            <w:r>
              <w:rPr>
                <w:rFonts w:hint="eastAsia" w:ascii="仿宋" w:hAnsi="仿宋" w:eastAsia="仿宋" w:cs="仿宋"/>
                <w:spacing w:val="6"/>
                <w:sz w:val="20"/>
                <w:szCs w:val="20"/>
              </w:rPr>
              <w:t>公务用车</w:t>
            </w:r>
            <w:r>
              <w:rPr>
                <w:rFonts w:hint="eastAsia" w:hAnsi="仿宋" w:cs="仿宋"/>
                <w:spacing w:val="6"/>
                <w:sz w:val="20"/>
                <w:szCs w:val="20"/>
                <w:lang w:val="en-US" w:eastAsia="zh-CN"/>
              </w:rPr>
              <w:t>购置</w:t>
            </w:r>
            <w:r>
              <w:rPr>
                <w:rFonts w:hint="eastAsia" w:ascii="仿宋" w:hAnsi="仿宋" w:eastAsia="仿宋" w:cs="仿宋"/>
                <w:spacing w:val="6"/>
                <w:sz w:val="20"/>
                <w:szCs w:val="20"/>
              </w:rPr>
              <w:t>及运行维护费</w:t>
            </w:r>
          </w:p>
        </w:tc>
        <w:tc>
          <w:tcPr>
            <w:tcW w:w="1822" w:type="dxa"/>
            <w:vAlign w:val="center"/>
          </w:tcPr>
          <w:p>
            <w:pPr>
              <w:spacing w:line="300" w:lineRule="exact"/>
              <w:jc w:val="right"/>
              <w:rPr>
                <w:rFonts w:hint="default" w:ascii="仿宋" w:hAnsi="仿宋" w:eastAsia="仿宋" w:cs="仿宋"/>
                <w:sz w:val="20"/>
                <w:szCs w:val="20"/>
                <w:lang w:val="en-US" w:eastAsia="zh-CN"/>
              </w:rPr>
            </w:pPr>
            <w:r>
              <w:rPr>
                <w:rFonts w:hint="eastAsia" w:hAnsi="仿宋" w:cs="仿宋"/>
                <w:sz w:val="20"/>
                <w:szCs w:val="20"/>
                <w:lang w:val="en-US" w:eastAsia="zh-CN"/>
              </w:rPr>
              <w:t>36.52</w:t>
            </w:r>
          </w:p>
        </w:tc>
        <w:tc>
          <w:tcPr>
            <w:tcW w:w="1822" w:type="dxa"/>
            <w:vAlign w:val="center"/>
          </w:tcPr>
          <w:p>
            <w:pPr>
              <w:spacing w:line="300" w:lineRule="exact"/>
              <w:jc w:val="right"/>
              <w:rPr>
                <w:rFonts w:hint="default" w:ascii="仿宋" w:hAnsi="仿宋" w:eastAsia="仿宋" w:cs="仿宋"/>
                <w:sz w:val="20"/>
                <w:szCs w:val="20"/>
                <w:lang w:val="en-US" w:eastAsia="zh-CN"/>
              </w:rPr>
            </w:pPr>
            <w:r>
              <w:rPr>
                <w:rFonts w:hint="eastAsia" w:hAnsi="仿宋" w:cs="仿宋"/>
                <w:sz w:val="20"/>
                <w:szCs w:val="20"/>
                <w:lang w:val="en-US" w:eastAsia="zh-CN"/>
              </w:rPr>
              <w:t>41.83</w:t>
            </w:r>
          </w:p>
        </w:tc>
        <w:tc>
          <w:tcPr>
            <w:tcW w:w="1822" w:type="dxa"/>
            <w:vAlign w:val="center"/>
          </w:tcPr>
          <w:p>
            <w:pPr>
              <w:spacing w:line="300" w:lineRule="exact"/>
              <w:jc w:val="right"/>
              <w:rPr>
                <w:rFonts w:hint="default" w:ascii="仿宋" w:hAnsi="仿宋" w:eastAsia="仿宋" w:cs="仿宋"/>
                <w:sz w:val="20"/>
                <w:szCs w:val="20"/>
                <w:lang w:val="en-US" w:eastAsia="zh-CN"/>
              </w:rPr>
            </w:pPr>
            <w:r>
              <w:rPr>
                <w:rFonts w:hint="eastAsia" w:hAnsi="仿宋" w:cs="仿宋"/>
                <w:sz w:val="20"/>
                <w:szCs w:val="20"/>
                <w:lang w:val="en-US" w:eastAsia="zh-CN"/>
              </w:rPr>
              <w:t>98.91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524" w:hRule="atLeast"/>
          <w:jc w:val="center"/>
        </w:trPr>
        <w:tc>
          <w:tcPr>
            <w:tcW w:w="859" w:type="dxa"/>
            <w:vAlign w:val="center"/>
          </w:tcPr>
          <w:p>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3</w:t>
            </w:r>
          </w:p>
        </w:tc>
        <w:tc>
          <w:tcPr>
            <w:tcW w:w="2519" w:type="dxa"/>
            <w:vAlign w:val="center"/>
          </w:tcPr>
          <w:p>
            <w:pPr>
              <w:spacing w:line="300" w:lineRule="exact"/>
              <w:jc w:val="center"/>
              <w:rPr>
                <w:rFonts w:hint="eastAsia" w:ascii="仿宋" w:hAnsi="仿宋" w:eastAsia="仿宋" w:cs="仿宋"/>
                <w:sz w:val="20"/>
                <w:szCs w:val="20"/>
              </w:rPr>
            </w:pPr>
            <w:r>
              <w:rPr>
                <w:rFonts w:hint="eastAsia" w:ascii="仿宋" w:hAnsi="仿宋" w:eastAsia="仿宋" w:cs="仿宋"/>
                <w:sz w:val="20"/>
                <w:szCs w:val="20"/>
              </w:rPr>
              <w:t>因公出国（境）</w:t>
            </w:r>
          </w:p>
        </w:tc>
        <w:tc>
          <w:tcPr>
            <w:tcW w:w="1822" w:type="dxa"/>
            <w:vAlign w:val="center"/>
          </w:tcPr>
          <w:p>
            <w:pPr>
              <w:wordWrap w:val="0"/>
              <w:spacing w:line="300" w:lineRule="exact"/>
              <w:jc w:val="righ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0.00</w:t>
            </w:r>
          </w:p>
        </w:tc>
        <w:tc>
          <w:tcPr>
            <w:tcW w:w="1822" w:type="dxa"/>
            <w:vAlign w:val="center"/>
          </w:tcPr>
          <w:p>
            <w:pPr>
              <w:wordWrap w:val="0"/>
              <w:spacing w:line="300" w:lineRule="exact"/>
              <w:jc w:val="right"/>
              <w:rPr>
                <w:rFonts w:hint="eastAsia" w:ascii="仿宋" w:hAnsi="仿宋" w:eastAsia="仿宋" w:cs="仿宋"/>
                <w:sz w:val="20"/>
                <w:szCs w:val="20"/>
              </w:rPr>
            </w:pPr>
            <w:r>
              <w:rPr>
                <w:rFonts w:hint="eastAsia" w:ascii="仿宋" w:hAnsi="仿宋" w:eastAsia="仿宋" w:cs="仿宋"/>
                <w:sz w:val="20"/>
                <w:szCs w:val="20"/>
              </w:rPr>
              <w:t>0</w:t>
            </w:r>
            <w:r>
              <w:rPr>
                <w:rFonts w:hint="eastAsia" w:ascii="仿宋" w:hAnsi="仿宋" w:eastAsia="仿宋" w:cs="仿宋"/>
                <w:sz w:val="20"/>
                <w:szCs w:val="20"/>
                <w:lang w:val="en-US" w:eastAsia="zh-CN"/>
              </w:rPr>
              <w:t>.00</w:t>
            </w:r>
            <w:r>
              <w:rPr>
                <w:rFonts w:hint="eastAsia" w:ascii="仿宋" w:hAnsi="仿宋" w:eastAsia="仿宋" w:cs="仿宋"/>
                <w:sz w:val="20"/>
                <w:szCs w:val="20"/>
              </w:rPr>
              <w:t xml:space="preserve"> </w:t>
            </w:r>
          </w:p>
        </w:tc>
        <w:tc>
          <w:tcPr>
            <w:tcW w:w="1822" w:type="dxa"/>
            <w:vAlign w:val="center"/>
          </w:tcPr>
          <w:p>
            <w:pPr>
              <w:wordWrap w:val="0"/>
              <w:spacing w:line="300" w:lineRule="exact"/>
              <w:jc w:val="right"/>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544" w:hRule="atLeast"/>
          <w:jc w:val="center"/>
        </w:trPr>
        <w:tc>
          <w:tcPr>
            <w:tcW w:w="3378" w:type="dxa"/>
            <w:gridSpan w:val="2"/>
            <w:vAlign w:val="center"/>
          </w:tcPr>
          <w:p>
            <w:pPr>
              <w:spacing w:line="300" w:lineRule="exact"/>
              <w:jc w:val="center"/>
              <w:rPr>
                <w:rFonts w:hint="eastAsia" w:ascii="仿宋" w:hAnsi="仿宋" w:eastAsia="仿宋" w:cs="仿宋"/>
                <w:b/>
                <w:bCs/>
                <w:sz w:val="20"/>
                <w:szCs w:val="20"/>
              </w:rPr>
            </w:pPr>
            <w:r>
              <w:rPr>
                <w:rFonts w:hint="eastAsia" w:ascii="仿宋" w:hAnsi="仿宋" w:eastAsia="仿宋" w:cs="仿宋"/>
                <w:b/>
                <w:bCs/>
                <w:sz w:val="20"/>
                <w:szCs w:val="20"/>
              </w:rPr>
              <w:t>合计</w:t>
            </w:r>
          </w:p>
        </w:tc>
        <w:tc>
          <w:tcPr>
            <w:tcW w:w="1822" w:type="dxa"/>
            <w:vAlign w:val="center"/>
          </w:tcPr>
          <w:p>
            <w:pPr>
              <w:spacing w:line="300" w:lineRule="exact"/>
              <w:jc w:val="right"/>
              <w:rPr>
                <w:rFonts w:hint="default" w:ascii="仿宋" w:hAnsi="仿宋" w:eastAsia="仿宋" w:cs="仿宋"/>
                <w:b/>
                <w:bCs/>
                <w:sz w:val="20"/>
                <w:szCs w:val="20"/>
                <w:lang w:val="en-US" w:eastAsia="zh-CN"/>
              </w:rPr>
            </w:pPr>
            <w:r>
              <w:rPr>
                <w:rFonts w:hint="eastAsia" w:hAnsi="仿宋" w:cs="仿宋"/>
                <w:b/>
                <w:bCs/>
                <w:sz w:val="20"/>
                <w:szCs w:val="20"/>
                <w:lang w:val="en-US" w:eastAsia="zh-CN"/>
              </w:rPr>
              <w:t>41.57</w:t>
            </w:r>
          </w:p>
        </w:tc>
        <w:tc>
          <w:tcPr>
            <w:tcW w:w="1822" w:type="dxa"/>
            <w:vAlign w:val="center"/>
          </w:tcPr>
          <w:p>
            <w:pPr>
              <w:spacing w:line="300" w:lineRule="exact"/>
              <w:jc w:val="right"/>
              <w:rPr>
                <w:rFonts w:hint="default" w:ascii="仿宋" w:hAnsi="仿宋" w:eastAsia="仿宋" w:cs="仿宋"/>
                <w:b/>
                <w:bCs/>
                <w:sz w:val="20"/>
                <w:szCs w:val="20"/>
                <w:lang w:val="en-US" w:eastAsia="zh-CN"/>
              </w:rPr>
            </w:pPr>
            <w:r>
              <w:rPr>
                <w:rFonts w:hint="eastAsia" w:hAnsi="仿宋" w:cs="仿宋"/>
                <w:b/>
                <w:bCs/>
                <w:sz w:val="20"/>
                <w:szCs w:val="20"/>
                <w:lang w:val="en-US" w:eastAsia="zh-CN"/>
              </w:rPr>
              <w:t>50.13</w:t>
            </w:r>
          </w:p>
        </w:tc>
        <w:tc>
          <w:tcPr>
            <w:tcW w:w="1822" w:type="dxa"/>
            <w:vAlign w:val="center"/>
          </w:tcPr>
          <w:p>
            <w:pPr>
              <w:spacing w:line="300" w:lineRule="exact"/>
              <w:jc w:val="right"/>
              <w:rPr>
                <w:rFonts w:hint="default" w:ascii="仿宋" w:hAnsi="仿宋" w:eastAsia="仿宋" w:cs="仿宋"/>
                <w:b/>
                <w:bCs/>
                <w:sz w:val="20"/>
                <w:szCs w:val="20"/>
                <w:lang w:val="en-US" w:eastAsia="zh-CN"/>
              </w:rPr>
            </w:pPr>
            <w:r>
              <w:rPr>
                <w:rFonts w:hint="eastAsia" w:hAnsi="仿宋" w:cs="仿宋"/>
                <w:b/>
                <w:bCs/>
                <w:sz w:val="20"/>
                <w:szCs w:val="20"/>
                <w:lang w:val="en-US" w:eastAsia="zh-CN"/>
              </w:rPr>
              <w:t>102.38</w:t>
            </w:r>
          </w:p>
        </w:tc>
      </w:tr>
    </w:tbl>
    <w:p>
      <w:pPr>
        <w:spacing w:line="579" w:lineRule="exact"/>
        <w:ind w:firstLine="654" w:firstLineChars="200"/>
        <w:outlineLvl w:val="1"/>
        <w:rPr>
          <w:rFonts w:ascii="楷体" w:hAnsi="楷体" w:eastAsia="楷体"/>
          <w:spacing w:val="6"/>
          <w:szCs w:val="30"/>
        </w:rPr>
      </w:pPr>
      <w:bookmarkStart w:id="7" w:name="_Toc2237"/>
      <w:r>
        <w:rPr>
          <w:rFonts w:hint="eastAsia" w:ascii="楷体" w:hAnsi="楷体" w:eastAsia="楷体"/>
          <w:spacing w:val="6"/>
          <w:szCs w:val="30"/>
        </w:rPr>
        <w:t>（</w:t>
      </w:r>
      <w:r>
        <w:rPr>
          <w:rFonts w:hint="eastAsia" w:ascii="楷体" w:hAnsi="楷体" w:eastAsia="楷体"/>
          <w:spacing w:val="6"/>
          <w:szCs w:val="30"/>
          <w:lang w:val="en-US" w:eastAsia="zh-CN"/>
        </w:rPr>
        <w:t>三</w:t>
      </w:r>
      <w:r>
        <w:rPr>
          <w:rFonts w:hint="eastAsia" w:ascii="楷体" w:hAnsi="楷体" w:eastAsia="楷体"/>
          <w:spacing w:val="6"/>
          <w:szCs w:val="30"/>
        </w:rPr>
        <w:t>）绩效目标设立情况</w:t>
      </w:r>
      <w:bookmarkEnd w:id="7"/>
    </w:p>
    <w:p>
      <w:pPr>
        <w:spacing w:line="579" w:lineRule="exact"/>
        <w:ind w:firstLine="654" w:firstLineChars="200"/>
        <w:rPr>
          <w:rFonts w:hAnsi="仿宋"/>
          <w:spacing w:val="6"/>
          <w:szCs w:val="30"/>
        </w:rPr>
      </w:pPr>
      <w:bookmarkStart w:id="8" w:name="_Hlk525314309"/>
      <w:r>
        <w:rPr>
          <w:rFonts w:hint="eastAsia" w:hAnsi="仿宋"/>
          <w:spacing w:val="6"/>
          <w:szCs w:val="30"/>
        </w:rPr>
        <w:t>1.批复（下达）的绩效目标和绩效指标情况</w:t>
      </w:r>
    </w:p>
    <w:p>
      <w:pPr>
        <w:keepNext w:val="0"/>
        <w:keepLines w:val="0"/>
        <w:pageBreakBefore w:val="0"/>
        <w:widowControl w:val="0"/>
        <w:kinsoku/>
        <w:wordWrap/>
        <w:overflowPunct/>
        <w:topLinePunct w:val="0"/>
        <w:autoSpaceDE/>
        <w:autoSpaceDN/>
        <w:bidi w:val="0"/>
        <w:adjustRightInd/>
        <w:snapToGrid/>
        <w:spacing w:line="590" w:lineRule="exact"/>
        <w:ind w:firstLine="654" w:firstLineChars="200"/>
        <w:textAlignment w:val="auto"/>
        <w:rPr>
          <w:rFonts w:hint="eastAsia" w:hAnsi="仿宋"/>
          <w:szCs w:val="30"/>
          <w:highlight w:val="none"/>
        </w:rPr>
      </w:pPr>
      <w:r>
        <w:rPr>
          <w:rFonts w:hint="eastAsia" w:hAnsi="仿宋"/>
          <w:spacing w:val="6"/>
          <w:szCs w:val="30"/>
        </w:rPr>
        <w:t>批复（下达）</w:t>
      </w:r>
      <w:r>
        <w:rPr>
          <w:rFonts w:hint="eastAsia" w:hAnsi="仿宋" w:cs="仿宋"/>
          <w:szCs w:val="30"/>
          <w:highlight w:val="none"/>
          <w:lang w:val="en-US" w:eastAsia="zh-CN"/>
        </w:rPr>
        <w:t>绩效目标：</w:t>
      </w:r>
      <w:r>
        <w:rPr>
          <w:rFonts w:hint="eastAsia" w:ascii="仿宋" w:hAnsi="仿宋" w:eastAsia="仿宋" w:cs="仿宋"/>
          <w:szCs w:val="30"/>
          <w:highlight w:val="none"/>
        </w:rPr>
        <w:t>实施最严格知识产权保护，2022年全市计划完成商标有效注册量27000件；加大治乱力度，加大侵权仿冒、价格欺诈、虚假宣传等专项治理，整治医疗、食品、药品、化妆品、房地产、互联网金融等重点领域广告违法行为，加大新型案件、大要案件查办力度，全年案件查办当量不少于80个；开展公平竞争审查评估。强化直销企业监管，加大传销监测和查处力度；强化计量监管和检测机构监督，2022年计划完成检验检测机构资质认定30家；加大消费维权力度，及时查处侵害消费者权益违法行为；深入实施食品安全战略，强化食品安全监管，计划完成食品抽检 600 批次，食用农产品抽检5040批次，食盐50批次，保健食品50批次；强化药品安全监管。开展药品、医疗器械和化妆品流通领域监督抽查，202</w:t>
      </w:r>
      <w:r>
        <w:rPr>
          <w:rFonts w:hint="eastAsia" w:hAnsi="仿宋" w:cs="仿宋"/>
          <w:szCs w:val="30"/>
          <w:highlight w:val="none"/>
          <w:lang w:val="en-US" w:eastAsia="zh-CN"/>
        </w:rPr>
        <w:t>2</w:t>
      </w:r>
      <w:r>
        <w:rPr>
          <w:rFonts w:hint="eastAsia" w:ascii="仿宋" w:hAnsi="仿宋" w:eastAsia="仿宋" w:cs="仿宋"/>
          <w:szCs w:val="30"/>
          <w:highlight w:val="none"/>
        </w:rPr>
        <w:t>年完成药品抽检300批次、化妆品抽检70批次，医疗器械监督抽检30批次；加强特种设备安全监管，加强电梯、涉危险化学品特种设备、场（厂）内专用机动车辆等特种设备安全风险防控和隐患排查整治，加大生产单位和检验检测机构监督抽查力度，重点监管对象100%监管；加强工业产品质量安全监管，加大监督抽查力度，实施精准监督抽查，2022年完成工业产品监督抽查240批次，计划对6大类10批次有机产品实施质量监督抽查</w:t>
      </w:r>
      <w:r>
        <w:rPr>
          <w:rFonts w:hint="eastAsia" w:hAnsi="仿宋" w:cs="仿宋"/>
          <w:szCs w:val="30"/>
          <w:highlight w:val="none"/>
          <w:lang w:eastAsia="zh-CN"/>
        </w:rPr>
        <w:t>；</w:t>
      </w:r>
      <w:r>
        <w:rPr>
          <w:rFonts w:hint="eastAsia" w:ascii="仿宋" w:hAnsi="仿宋" w:eastAsia="仿宋" w:cs="仿宋"/>
          <w:szCs w:val="30"/>
          <w:highlight w:val="none"/>
        </w:rPr>
        <w:t>推进标准化战略实施，开展农业标准化示范区和服务标准化试点工作，2022年计划推广林下魔芋种植标准化生产推广1000亩；进一步优化消费环境，投诉受理100%，提高办结率。</w:t>
      </w:r>
      <w:r>
        <w:rPr>
          <w:rFonts w:hint="eastAsia" w:hAnsi="仿宋"/>
          <w:szCs w:val="30"/>
          <w:highlight w:val="none"/>
        </w:rPr>
        <w:t>详</w:t>
      </w:r>
      <w:r>
        <w:rPr>
          <w:rFonts w:hint="eastAsia" w:hAnsi="仿宋"/>
          <w:szCs w:val="30"/>
          <w:highlight w:val="none"/>
          <w:lang w:val="en-US" w:eastAsia="zh-CN"/>
        </w:rPr>
        <w:t>见</w:t>
      </w:r>
      <w:r>
        <w:rPr>
          <w:rFonts w:hint="eastAsia" w:hAnsi="仿宋"/>
          <w:szCs w:val="30"/>
          <w:highlight w:val="none"/>
        </w:rPr>
        <w:t>附件1。</w:t>
      </w:r>
    </w:p>
    <w:p>
      <w:pPr>
        <w:keepNext w:val="0"/>
        <w:keepLines w:val="0"/>
        <w:pageBreakBefore w:val="0"/>
        <w:widowControl/>
        <w:kinsoku/>
        <w:wordWrap/>
        <w:overflowPunct/>
        <w:topLinePunct w:val="0"/>
        <w:autoSpaceDE/>
        <w:autoSpaceDN/>
        <w:bidi w:val="0"/>
        <w:adjustRightInd/>
        <w:snapToGrid/>
        <w:spacing w:line="590" w:lineRule="exact"/>
        <w:ind w:firstLine="654" w:firstLineChars="200"/>
        <w:textAlignment w:val="auto"/>
        <w:outlineLvl w:val="9"/>
        <w:rPr>
          <w:rFonts w:hint="eastAsia" w:ascii="仿宋" w:hAnsi="仿宋" w:eastAsia="仿宋" w:cs="仿宋"/>
          <w:i w:val="0"/>
          <w:strike w:val="0"/>
          <w:color w:val="000000"/>
          <w:sz w:val="30"/>
          <w:u w:val="none"/>
        </w:rPr>
      </w:pPr>
      <w:r>
        <w:rPr>
          <w:rFonts w:hint="eastAsia" w:hAnsi="仿宋"/>
          <w:spacing w:val="6"/>
          <w:szCs w:val="30"/>
        </w:rPr>
        <w:t>批复（下达）绩效指标：设置了绩效指标</w:t>
      </w:r>
      <w:r>
        <w:rPr>
          <w:rFonts w:hint="eastAsia" w:hAnsi="仿宋"/>
          <w:spacing w:val="6"/>
          <w:szCs w:val="30"/>
          <w:lang w:val="en-US" w:eastAsia="zh-CN"/>
        </w:rPr>
        <w:t>26</w:t>
      </w:r>
      <w:r>
        <w:rPr>
          <w:rFonts w:hint="eastAsia" w:hAnsi="仿宋"/>
          <w:spacing w:val="6"/>
          <w:szCs w:val="30"/>
        </w:rPr>
        <w:t>项。其中数量指标</w:t>
      </w:r>
      <w:r>
        <w:rPr>
          <w:rFonts w:hint="eastAsia" w:hAnsi="仿宋"/>
          <w:spacing w:val="6"/>
          <w:szCs w:val="30"/>
          <w:lang w:val="en-US" w:eastAsia="zh-CN"/>
        </w:rPr>
        <w:t>14</w:t>
      </w:r>
      <w:r>
        <w:rPr>
          <w:rFonts w:hint="eastAsia" w:hAnsi="仿宋"/>
          <w:spacing w:val="6"/>
          <w:szCs w:val="30"/>
        </w:rPr>
        <w:t>项，质量指标</w:t>
      </w:r>
      <w:r>
        <w:rPr>
          <w:rFonts w:hint="eastAsia" w:hAnsi="仿宋"/>
          <w:spacing w:val="6"/>
          <w:szCs w:val="30"/>
          <w:lang w:val="en-US" w:eastAsia="zh-CN"/>
        </w:rPr>
        <w:t>4</w:t>
      </w:r>
      <w:r>
        <w:rPr>
          <w:rFonts w:hint="eastAsia" w:hAnsi="仿宋"/>
          <w:spacing w:val="6"/>
          <w:szCs w:val="30"/>
        </w:rPr>
        <w:t>项，时效指标</w:t>
      </w:r>
      <w:r>
        <w:rPr>
          <w:rFonts w:hint="eastAsia" w:hAnsi="仿宋"/>
          <w:spacing w:val="6"/>
          <w:szCs w:val="30"/>
          <w:lang w:val="en-US" w:eastAsia="zh-CN"/>
        </w:rPr>
        <w:t>1</w:t>
      </w:r>
      <w:r>
        <w:rPr>
          <w:rFonts w:hint="eastAsia" w:hAnsi="仿宋"/>
          <w:spacing w:val="6"/>
          <w:szCs w:val="30"/>
        </w:rPr>
        <w:t>项，社会效益指标</w:t>
      </w:r>
      <w:r>
        <w:rPr>
          <w:rFonts w:hint="eastAsia" w:hAnsi="仿宋"/>
          <w:spacing w:val="6"/>
          <w:szCs w:val="30"/>
          <w:lang w:val="en-US" w:eastAsia="zh-CN"/>
        </w:rPr>
        <w:t>5</w:t>
      </w:r>
      <w:r>
        <w:rPr>
          <w:rFonts w:hint="eastAsia" w:hAnsi="仿宋"/>
          <w:spacing w:val="6"/>
          <w:szCs w:val="30"/>
        </w:rPr>
        <w:t>项，服务对象满意度指标</w:t>
      </w:r>
      <w:r>
        <w:rPr>
          <w:rFonts w:hint="eastAsia" w:hAnsi="仿宋"/>
          <w:spacing w:val="6"/>
          <w:szCs w:val="30"/>
          <w:lang w:val="en-US" w:eastAsia="zh-CN"/>
        </w:rPr>
        <w:t>2</w:t>
      </w:r>
      <w:r>
        <w:rPr>
          <w:rFonts w:hint="eastAsia" w:hAnsi="仿宋"/>
          <w:spacing w:val="6"/>
          <w:szCs w:val="30"/>
        </w:rPr>
        <w:t>项。详见附件1。</w:t>
      </w:r>
    </w:p>
    <w:p>
      <w:pPr>
        <w:spacing w:line="579" w:lineRule="exact"/>
        <w:ind w:firstLine="654" w:firstLineChars="200"/>
        <w:rPr>
          <w:rFonts w:hAnsi="仿宋"/>
          <w:spacing w:val="6"/>
          <w:szCs w:val="30"/>
        </w:rPr>
      </w:pPr>
      <w:r>
        <w:rPr>
          <w:rFonts w:hint="eastAsia" w:hAnsi="仿宋"/>
          <w:spacing w:val="6"/>
          <w:szCs w:val="30"/>
        </w:rPr>
        <w:t>2.绩效</w:t>
      </w:r>
      <w:r>
        <w:rPr>
          <w:rFonts w:hint="eastAsia" w:hAnsi="仿宋"/>
          <w:spacing w:val="6"/>
          <w:szCs w:val="30"/>
          <w:lang w:eastAsia="zh-CN"/>
        </w:rPr>
        <w:t>评价</w:t>
      </w:r>
      <w:r>
        <w:rPr>
          <w:rFonts w:hint="eastAsia" w:hAnsi="仿宋"/>
          <w:spacing w:val="6"/>
          <w:szCs w:val="30"/>
        </w:rPr>
        <w:t>调整后的绩效目标和绩效指标情况</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outlineLvl w:val="9"/>
        <w:rPr>
          <w:rFonts w:hint="eastAsia" w:ascii="仿宋" w:hAnsi="仿宋" w:eastAsia="仿宋" w:cs="仿宋"/>
          <w:i w:val="0"/>
          <w:strike w:val="0"/>
          <w:color w:val="000000"/>
          <w:sz w:val="30"/>
          <w:u w:val="none"/>
        </w:rPr>
      </w:pPr>
      <w:r>
        <w:rPr>
          <w:rFonts w:hint="eastAsia" w:ascii="仿宋" w:hAnsi="仿宋" w:eastAsia="仿宋" w:cs="仿宋"/>
          <w:i w:val="0"/>
          <w:strike w:val="0"/>
          <w:color w:val="000000"/>
          <w:sz w:val="30"/>
          <w:u w:val="none"/>
        </w:rPr>
        <w:t>结合部门职能职责、中长期规划、年度重点工作和年度资金支出结构，全面梳理部门2022年部门整体支出绩效目标。</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outlineLvl w:val="9"/>
        <w:rPr>
          <w:rFonts w:hint="eastAsia" w:ascii="仿宋" w:hAnsi="仿宋" w:eastAsia="仿宋" w:cs="仿宋"/>
          <w:i w:val="0"/>
          <w:strike w:val="0"/>
          <w:color w:val="000000"/>
          <w:sz w:val="30"/>
          <w:u w:val="none"/>
        </w:rPr>
      </w:pPr>
      <w:r>
        <w:rPr>
          <w:rFonts w:hint="eastAsia" w:ascii="仿宋" w:hAnsi="仿宋" w:eastAsia="仿宋" w:cs="仿宋"/>
          <w:i w:val="0"/>
          <w:strike w:val="0"/>
          <w:color w:val="000000"/>
          <w:sz w:val="30"/>
          <w:u w:val="none"/>
        </w:rPr>
        <w:t>（1）市场综合监督管理方面。持续推进行政审批制度改革推进市场监管行政审批电子化、便利化标准化；建设高标准市场体系，推动地方标准制定，100%实现完成，强化事中事后监管和优化服务；营造宽松便捷的市场准入环境，持续改善营商环境；优化商事登记服务方式，创新审批服务方式；完善市场主体</w:t>
      </w:r>
      <w:r>
        <w:rPr>
          <w:rFonts w:hint="eastAsia" w:hAnsi="仿宋" w:cs="仿宋"/>
          <w:i w:val="0"/>
          <w:strike w:val="0"/>
          <w:color w:val="000000"/>
          <w:sz w:val="30"/>
          <w:u w:val="none"/>
          <w:lang w:eastAsia="zh-CN"/>
        </w:rPr>
        <w:t>退出</w:t>
      </w:r>
      <w:r>
        <w:rPr>
          <w:rFonts w:hint="eastAsia" w:ascii="仿宋" w:hAnsi="仿宋" w:eastAsia="仿宋" w:cs="仿宋"/>
          <w:i w:val="0"/>
          <w:strike w:val="0"/>
          <w:color w:val="000000"/>
          <w:sz w:val="30"/>
          <w:u w:val="none"/>
        </w:rPr>
        <w:t>机制，营造便利高效营商环境。</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outlineLvl w:val="9"/>
        <w:rPr>
          <w:rFonts w:hint="eastAsia" w:ascii="仿宋" w:hAnsi="仿宋" w:eastAsia="仿宋" w:cs="仿宋"/>
          <w:i w:val="0"/>
          <w:strike w:val="0"/>
          <w:color w:val="000000"/>
          <w:sz w:val="30"/>
          <w:u w:val="none"/>
        </w:rPr>
      </w:pPr>
      <w:r>
        <w:rPr>
          <w:rFonts w:hint="eastAsia" w:ascii="仿宋" w:hAnsi="仿宋" w:eastAsia="仿宋" w:cs="仿宋"/>
          <w:i w:val="0"/>
          <w:strike w:val="0"/>
          <w:color w:val="000000"/>
          <w:sz w:val="30"/>
          <w:u w:val="none"/>
        </w:rPr>
        <w:t>（2）市场监督管理综合执法方面。强化执法监管，营造公平市场竞争环境。加强广告行业、网络交易监管，严厉打击侵犯知识产权和制造假冒伪劣产品行为，强化传销综合治理；加强公平竞争审查、规范行政执法行为、完善价格监管机制、推进反垄断及反不正当竞争；打造安全放心的消费环境，综合执法案件办结率达到90%以上。实施“食品安全”战略，强化药品安全监管，加强工业产品、特种设备安全监督，实现不合格产品核查处置完成率达100%；加强消费维权，体系建设，完善12315投诉举报平台建设，拓宽投诉举报渠道，12315投诉举报办结率达到90%以上，强化综合执法体系建设，加强横向联合执法，建立健全跨部门、跨区域执法协作联动机制，食品安全违法行为案件查处率达100%，全面推行“双随机、一公开”制度，实现“双随机、一公开”监管达到市场监管领域全覆盖、常态化，行政执法能力得到有效提升。</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outlineLvl w:val="9"/>
        <w:rPr>
          <w:rFonts w:hint="eastAsia" w:ascii="仿宋" w:hAnsi="仿宋" w:eastAsia="仿宋" w:cs="仿宋"/>
          <w:i w:val="0"/>
          <w:strike w:val="0"/>
          <w:color w:val="000000"/>
          <w:sz w:val="30"/>
          <w:u w:val="none"/>
        </w:rPr>
      </w:pPr>
      <w:r>
        <w:rPr>
          <w:rFonts w:hint="eastAsia" w:ascii="仿宋" w:hAnsi="仿宋" w:eastAsia="仿宋" w:cs="仿宋"/>
          <w:i w:val="0"/>
          <w:strike w:val="0"/>
          <w:color w:val="000000"/>
          <w:sz w:val="30"/>
          <w:u w:val="none"/>
        </w:rPr>
        <w:t>（3）质量及安全监督管理方面。构建现代化监管的质量体系。进一步完善标准体系，制定监管标准和规范；计划完成食品抽检 600 批次，食用农产品抽检5040批次，食盐50批次，保健食品50批次；强化药品安全监管。开展药品、医疗器械和化妆品流通领域监督抽查，202</w:t>
      </w:r>
      <w:r>
        <w:rPr>
          <w:rFonts w:hint="eastAsia" w:hAnsi="仿宋" w:cs="仿宋"/>
          <w:i w:val="0"/>
          <w:strike w:val="0"/>
          <w:color w:val="000000"/>
          <w:sz w:val="30"/>
          <w:u w:val="none"/>
          <w:lang w:val="en-US" w:eastAsia="zh-CN"/>
        </w:rPr>
        <w:t>2</w:t>
      </w:r>
      <w:r>
        <w:rPr>
          <w:rFonts w:hint="eastAsia" w:ascii="仿宋" w:hAnsi="仿宋" w:eastAsia="仿宋" w:cs="仿宋"/>
          <w:i w:val="0"/>
          <w:strike w:val="0"/>
          <w:color w:val="000000"/>
          <w:sz w:val="30"/>
          <w:u w:val="none"/>
        </w:rPr>
        <w:t>年完成药品抽检300批次、化妆品抽检70批次，医疗器械监督抽检30批次；加强认证认可检验工作，完善认证认可追溯机制，</w:t>
      </w:r>
      <w:r>
        <w:rPr>
          <w:rFonts w:hint="eastAsia" w:hAnsi="仿宋" w:cs="仿宋"/>
          <w:i w:val="0"/>
          <w:strike w:val="0"/>
          <w:color w:val="000000"/>
          <w:sz w:val="30"/>
          <w:u w:val="none"/>
          <w:lang w:eastAsia="zh-CN"/>
        </w:rPr>
        <w:t>探索</w:t>
      </w:r>
      <w:r>
        <w:rPr>
          <w:rFonts w:hint="eastAsia" w:ascii="仿宋" w:hAnsi="仿宋" w:eastAsia="仿宋" w:cs="仿宋"/>
          <w:i w:val="0"/>
          <w:strike w:val="0"/>
          <w:color w:val="000000"/>
          <w:sz w:val="30"/>
          <w:u w:val="none"/>
        </w:rPr>
        <w:t>和推进“互联网+检验检测”，加强新兴产业检验检测认证服务，提升综合检验检测能力水平；开展知识产权保护宣传工作，加强知识产权创造保护运用管理服务能力，有效商标注册量完成率达100%，实现知识产权促进运用与转化；加强玉溪品牌建设，培育高质量品牌，开展高端品质评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00" w:leftChars="0" w:right="0" w:rightChars="0"/>
        <w:jc w:val="both"/>
        <w:textAlignment w:val="auto"/>
        <w:rPr>
          <w:rFonts w:hint="eastAsia" w:hAnsi="仿宋"/>
          <w:spacing w:val="6"/>
          <w:szCs w:val="30"/>
          <w:highlight w:val="none"/>
          <w:lang w:val="en-US" w:eastAsia="zh-CN"/>
        </w:rPr>
      </w:pPr>
      <w:r>
        <w:rPr>
          <w:rFonts w:hint="eastAsia" w:hAnsi="仿宋"/>
          <w:spacing w:val="6"/>
          <w:szCs w:val="30"/>
          <w:highlight w:val="none"/>
          <w:lang w:val="en-US" w:eastAsia="zh-CN"/>
        </w:rPr>
        <w:t>3.绩效目标实现情况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54" w:firstLineChars="200"/>
        <w:jc w:val="both"/>
        <w:textAlignment w:val="auto"/>
        <w:rPr>
          <w:rFonts w:hint="eastAsia" w:hAnsi="仿宋"/>
          <w:spacing w:val="6"/>
          <w:szCs w:val="30"/>
          <w:highlight w:val="none"/>
          <w:lang w:val="en-US" w:eastAsia="zh-CN"/>
        </w:rPr>
      </w:pPr>
      <w:r>
        <w:rPr>
          <w:rFonts w:hint="eastAsia" w:hAnsi="仿宋"/>
          <w:spacing w:val="6"/>
          <w:szCs w:val="30"/>
          <w:highlight w:val="none"/>
          <w:lang w:val="en-US" w:eastAsia="zh-CN"/>
        </w:rPr>
        <w:t>玉溪市市场监督管理局2022年部门整体绩效目标完成情况一般，10项绩效指标中有7项实现预期目标，3项部分实现预期目标。具体情况详见下表：</w:t>
      </w:r>
    </w:p>
    <w:p>
      <w:pPr>
        <w:pStyle w:val="2"/>
        <w:keepNext w:val="0"/>
        <w:keepLines w:val="0"/>
        <w:pageBreakBefore w:val="0"/>
        <w:kinsoku/>
        <w:wordWrap/>
        <w:overflowPunct/>
        <w:topLinePunct w:val="0"/>
        <w:autoSpaceDE/>
        <w:autoSpaceDN/>
        <w:bidi w:val="0"/>
        <w:adjustRightInd/>
        <w:snapToGrid/>
        <w:spacing w:line="400" w:lineRule="exact"/>
        <w:jc w:val="center"/>
        <w:rPr>
          <w:rFonts w:hint="eastAsia" w:ascii="黑体" w:hAnsi="黑体" w:eastAsia="黑体" w:cs="黑体"/>
          <w:sz w:val="24"/>
          <w:szCs w:val="24"/>
          <w:lang w:val="en-US" w:eastAsia="zh-CN"/>
        </w:rPr>
      </w:pPr>
      <w:r>
        <w:rPr>
          <w:rFonts w:hint="eastAsia" w:ascii="黑体" w:hAnsi="黑体" w:eastAsia="黑体" w:cs="黑体"/>
          <w:spacing w:val="6"/>
          <w:sz w:val="24"/>
          <w:szCs w:val="24"/>
          <w:lang w:val="en-US" w:eastAsia="zh-CN"/>
        </w:rPr>
        <w:t>表5： 绩效目标实现情况表</w:t>
      </w:r>
    </w:p>
    <w:tbl>
      <w:tblPr>
        <w:tblStyle w:val="20"/>
        <w:tblW w:w="8844"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2"/>
        <w:gridCol w:w="897"/>
        <w:gridCol w:w="870"/>
        <w:gridCol w:w="2512"/>
        <w:gridCol w:w="725"/>
        <w:gridCol w:w="3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blHeader/>
        </w:trPr>
        <w:tc>
          <w:tcPr>
            <w:tcW w:w="57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一级指标</w:t>
            </w:r>
          </w:p>
        </w:tc>
        <w:tc>
          <w:tcPr>
            <w:tcW w:w="897"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二级指标</w:t>
            </w:r>
          </w:p>
        </w:tc>
        <w:tc>
          <w:tcPr>
            <w:tcW w:w="8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b/>
                <w:bCs/>
                <w:i w:val="0"/>
                <w:iCs w:val="0"/>
                <w:color w:val="auto"/>
                <w:sz w:val="20"/>
                <w:szCs w:val="20"/>
                <w:u w:val="none"/>
              </w:rPr>
            </w:pPr>
            <w:r>
              <w:rPr>
                <w:rFonts w:hint="eastAsia" w:ascii="仿宋" w:hAnsi="仿宋" w:eastAsia="仿宋" w:cs="仿宋"/>
                <w:b/>
                <w:bCs/>
                <w:i w:val="0"/>
                <w:iCs w:val="0"/>
                <w:color w:val="auto"/>
                <w:kern w:val="0"/>
                <w:sz w:val="20"/>
                <w:szCs w:val="20"/>
                <w:u w:val="none"/>
                <w:lang w:val="en-US" w:eastAsia="zh-CN" w:bidi="ar"/>
              </w:rPr>
              <w:t>三级指标</w:t>
            </w:r>
          </w:p>
        </w:tc>
        <w:tc>
          <w:tcPr>
            <w:tcW w:w="251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指标值</w:t>
            </w:r>
          </w:p>
        </w:tc>
        <w:tc>
          <w:tcPr>
            <w:tcW w:w="72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指标完成情况</w:t>
            </w:r>
          </w:p>
        </w:tc>
        <w:tc>
          <w:tcPr>
            <w:tcW w:w="3268"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b/>
                <w:bCs/>
                <w:i w:val="0"/>
                <w:iCs w:val="0"/>
                <w:color w:val="auto"/>
                <w:sz w:val="20"/>
                <w:szCs w:val="20"/>
                <w:u w:val="none"/>
                <w:lang w:val="en-US" w:eastAsia="zh-CN"/>
              </w:rPr>
            </w:pPr>
            <w:r>
              <w:rPr>
                <w:rFonts w:hint="eastAsia" w:ascii="仿宋" w:hAnsi="仿宋" w:eastAsia="仿宋" w:cs="仿宋"/>
                <w:b/>
                <w:bCs/>
                <w:i w:val="0"/>
                <w:iCs w:val="0"/>
                <w:color w:val="auto"/>
                <w:sz w:val="20"/>
                <w:szCs w:val="20"/>
                <w:u w:val="none"/>
                <w:lang w:val="en-US" w:eastAsia="zh-CN"/>
              </w:rPr>
              <w:t>指标实现情况说明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72"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产   出</w:t>
            </w:r>
          </w:p>
        </w:tc>
        <w:tc>
          <w:tcPr>
            <w:tcW w:w="897"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职责履行</w:t>
            </w:r>
          </w:p>
        </w:tc>
        <w:tc>
          <w:tcPr>
            <w:tcW w:w="870" w:type="dxa"/>
            <w:tcBorders>
              <w:top w:val="single" w:color="auto" w:sz="4" w:space="0"/>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市场综合监督管理</w:t>
            </w:r>
          </w:p>
        </w:tc>
        <w:tc>
          <w:tcPr>
            <w:tcW w:w="2512" w:type="dxa"/>
            <w:tcBorders>
              <w:top w:val="single" w:color="auto" w:sz="4" w:space="0"/>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①学校食堂“明厨亮灶”覆盖率是否达到100%。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②食品、食用农产品抽检结果信息公示率</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③地方标准制定完成率=实际标准建立数量/计划标准建立数量</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④全市重大活动餐饮服务食品安全保障完成率=重大活动餐饮服务</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食品安全保障完成次数/组织实施重大活动餐饮服务食品安全保障次数</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⑤是否出台信用修复机制；</w:t>
            </w:r>
          </w:p>
        </w:tc>
        <w:tc>
          <w:tcPr>
            <w:tcW w:w="725" w:type="dxa"/>
            <w:tcBorders>
              <w:top w:val="single" w:color="auto" w:sz="4" w:space="0"/>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完成</w:t>
            </w:r>
          </w:p>
        </w:tc>
        <w:tc>
          <w:tcPr>
            <w:tcW w:w="3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①玉溪市有开办食堂的学校总数878家，食堂设置“明厨亮灶”的学校数878家，  学校食堂“明厨亮灶”覆盖率100%；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②开展食品、食用农产品抽检批次数149批次，公示期数149期，信息公示率100%；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③计划标准建立数量139条，实际建立139条，完成率达100%；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④组织并完成实施重大活动餐饮服务食品安全保障次数287次，完成率达100%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⑤出台《市场监督管理信用修复管理办法》，形成信用修复机制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70"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市场监督管理综合执法</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①12315投诉举报办结率是否达到90%以上；</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12315投诉举报办结率 =（办结投诉案件数量/全部12315投诉举报案件）×100%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②12315 平台消费投诉法定时限及时办结率≥90%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③综合执法案件办结率是否达到90%以上；</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④食品安全违法行为案件查处率是否达100%；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⑤不合格产品核查处置完成率=100%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不合格产品核查处置完成率=完成不合格产品核查处置数/应完成不合格产品核查处置数×100%，（产品包括食品、药品、医疗器械、化妆品）</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⑥抽检监测结果通报率是否达100%；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抽检监测结果通报率=实际通报批次数/应通报批次数；</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⑦抽检信息公示率是否达100%；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抽检信息公示率=实际公示批次数/应公示批次数</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完成</w:t>
            </w:r>
          </w:p>
        </w:tc>
        <w:tc>
          <w:tcPr>
            <w:tcW w:w="3268"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①和②：2022年全市12315投诉举报案件数量4453件，及时办结4453件，办结率100%，及时办结率100%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③计划办结投诉案件1450件，实际办结投诉案件1853件，办结率127.79%；</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④2022年全市发生食品安全违法行为案件808件，查处808件，查处率达100%；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⑤2022年，应处置完成的不合格产品数298个（食品296个，药品2个，医疗器械0个、化妆品0个），实际处置完成的不合格产品数298个，处置完成率100%；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⑥和⑦：2022年，实际通报并公示期数358期（食品149期、药品1期、医疗器械28期、化妆品1期），计划</w:t>
            </w:r>
            <w:r>
              <w:rPr>
                <w:rFonts w:hint="eastAsia" w:hAnsi="仿宋" w:cs="仿宋"/>
                <w:i w:val="0"/>
                <w:iCs w:val="0"/>
                <w:color w:val="auto"/>
                <w:kern w:val="0"/>
                <w:sz w:val="20"/>
                <w:szCs w:val="20"/>
                <w:u w:val="none"/>
                <w:lang w:val="en-US" w:eastAsia="zh-CN" w:bidi="ar"/>
              </w:rPr>
              <w:t>通报</w:t>
            </w:r>
            <w:r>
              <w:rPr>
                <w:rFonts w:hint="eastAsia" w:ascii="仿宋" w:hAnsi="仿宋" w:eastAsia="仿宋" w:cs="仿宋"/>
                <w:i w:val="0"/>
                <w:iCs w:val="0"/>
                <w:color w:val="auto"/>
                <w:kern w:val="0"/>
                <w:sz w:val="20"/>
                <w:szCs w:val="20"/>
                <w:u w:val="none"/>
                <w:lang w:val="en-US" w:eastAsia="zh-CN" w:bidi="ar"/>
              </w:rPr>
              <w:t>并公示358期，通报率100%，公示率100%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70"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质量及安全监督管理</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食品抽检类：</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①食品抽检任务完成率=实际完成食品抽检批次数/计划完成食品抽检批次数×100%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②食用农产品抽检任务完成率=实际完成食用农产品抽检批次数/计划完成食用农产品抽检批次数×100%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③食盐抽检任务完成率=实际完成食盐抽检批次数/计划完成食盐抽检批次数×100%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④保健食品抽检任务完成率=实际完成保健食品抽检批次数/计划完成保健食品抽检批次数×100%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药品抽检类：</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①药品监督抽检任务完成率=实际完成药品抽检批次数/计划完成药品抽检批次数×100%  （含中药和民族药）</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医疗器械类：</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①医疗器械专项监督抽检任务完成率=实际完成医疗器械抽检批次数/计划完成医疗器械抽检批次数×100%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②飞行检查任务完成率=实际完成医疗器械经营单位飞行检查数量/计划任务数×100%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特种设备类：</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①按照“一单四制”要求开展特种设备安全隐患动态管理</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化妆品类：</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①化妆品专项抽检任务完成率=实际完成化妆品抽检批次数/计划完成化妆品抽检批次数×100%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检测检验机构监督：</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①检验检测监督抽查（检查）工作=实际对检验检测机</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构开展监督管理的数量/计划对检验检测机构开展监督管理的数量×100%</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部分完成</w:t>
            </w:r>
          </w:p>
        </w:tc>
        <w:tc>
          <w:tcPr>
            <w:tcW w:w="3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①计划完成食品抽检600批次，实际完成840批次，完成率140%；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②计划完成食用农产品抽检5040批次，实际完成5040批次，完成率100%；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③计划完成食盐抽检50批次，实际完成50批次，完成率100%；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④计划完成保健食品抽检50批次，实际完成50批次，完成率100%；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⑤计划完成药品抽检160批次，实际完成160批次，完成率100%；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⑥计划完成医疗器械抽检30批次，实际完成9批次，完成率30%；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⑦计划完成飞行检查任务33次，实际完成8次，完成率24.24%；</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⑧特种设备类按照“一单四制”要求开展特种设备安全隐患动态管理</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⑨计划完成化妆品抽检40批次，实际完成40批次，完成率100%；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⑩药品化妆品承检单位为玉溪市食品药品检验所，但部门未对第三方机构开展相关监督检查工作；食品抽检方面，未追踪考核第三方机构抽检质量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知识产权保护</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①有效商标注册量完成率=实际完成商标有效注册量/计划任务量×100%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②是否开展知识产权保护宣传工作；</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完成</w:t>
            </w:r>
          </w:p>
        </w:tc>
        <w:tc>
          <w:tcPr>
            <w:tcW w:w="3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①计划完成有效商标注册27000件，实际完成31959件，完成率118.37%；</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②在各级媒体发布知识产权保护宣传信息；开展知识产权进企业、进市场、进社区、进学校等活动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8" w:hRule="atLeast"/>
        </w:trPr>
        <w:tc>
          <w:tcPr>
            <w:tcW w:w="57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重点项目推进完成情况</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①是否完成全面推进“证照分离”改革任务，实现当场办结、一次办结、限时办结；</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②是否持续完善企业开办“一窗通”平台，建立健全企业开办部门协同机制，推进企业开办标准化规范化便利化，实现企业设立登记、公章刻制、发票申领、社保登记、住房公积金企业缴存登记、银行开户等事项“一网通办”。</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部分完成</w:t>
            </w:r>
          </w:p>
        </w:tc>
        <w:tc>
          <w:tcPr>
            <w:tcW w:w="3268" w:type="dxa"/>
            <w:tcBorders>
              <w:top w:val="single" w:color="000000" w:sz="4" w:space="0"/>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①玉溪市人民政府印发《玉溪市全面推行“证照分离”改革全覆盖进一步激发市场主体发展活力实施方案》，对于“证照分离”改革中涉及的由审批改为备案的事项，逐步纳入“多证合一”整合范畴，实现“一网通办”，开展全程电子化登记改革。</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②持续出台“一窗通”网上办理操作指南，工作简讯，联合发改、公安、人社、税务、政务服务等多部门完善相关制度和宣传手段，持续完善企业开办“一窗通”平台，建立健全企业开办部门协同机制，推进企业开办标准化规范化便利化，实现企业设立登记、公章刻制、发票申领、社保登记、住房公积金企业缴存登记、银行开户等事项“一网通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2" w:type="dxa"/>
            <w:vMerge w:val="restart"/>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效益</w:t>
            </w:r>
          </w:p>
        </w:tc>
        <w:tc>
          <w:tcPr>
            <w:tcW w:w="897" w:type="dxa"/>
            <w:vMerge w:val="restart"/>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履职成效</w:t>
            </w:r>
          </w:p>
        </w:tc>
        <w:tc>
          <w:tcPr>
            <w:tcW w:w="870"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综合监督管理成效</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①不合格产品信息公开率是否达100%；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②食品安全事件变化情况：监管领域内发生食品安全事件数是否逐年递减；监管领域内发生食品安全事件引起的发病人数是否同比逐年递减；监管领域内未发生重特大食品安全事故；</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③“双随机、一公开”监管是否达到市场监管领域全覆盖、常态化；</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④市场主体培育主体企业数较上年增加</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⑤食品抽检合格率是否达98%以上；</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完成</w:t>
            </w:r>
          </w:p>
        </w:tc>
        <w:tc>
          <w:tcPr>
            <w:tcW w:w="3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①应公开的不合格产品信息31件，实际公开31件，公开率达100%；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②2021、2022年监管领域内未发生食品安全事件和致人发病，未发生重特大食品安全事故；</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③“双随机、一公开”监管达到市场监管领域全覆盖、常态化</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④2022年市场主体培育主体企业数302600家，较2021年253689家，有所增加；</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⑤食品抽检结果合格1074批，完成食品抽检1095批，合格率达98.08%</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572" w:type="dxa"/>
            <w:vMerge w:val="continue"/>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vMerge w:val="continue"/>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70"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检验检测能力提升</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（一）检验项目扩充：</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食品检验项目扩充率是否较上年增长</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（二）能力提升：</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①是否完善食品生产加工、流通、消费全链条溯源监管；</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②工业产品生产企业质量监督抽查合格率≥95%</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完成</w:t>
            </w:r>
          </w:p>
        </w:tc>
        <w:tc>
          <w:tcPr>
            <w:tcW w:w="3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  2021年食品检验项目涉及26大类,2022年扩充涉及28大类，新增乳制品和食用糖，扩充率较上年增长，形成了完善食品生产加工、流通、消费全链条溯源监管；</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2022年对250个工业产品生产企业质量监督抽查，合格240个，抽查合格率达96%；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572" w:type="dxa"/>
            <w:vMerge w:val="continue"/>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vMerge w:val="continue"/>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行政执法能力提升</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①抽检案件查处率是否达100%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②执法装备人机比是否达到2人/套；</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③行政处罚案件评查优秀率是否较上年提高</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hAnsi="仿宋" w:cs="仿宋"/>
                <w:i w:val="0"/>
                <w:iCs w:val="0"/>
                <w:color w:val="auto"/>
                <w:kern w:val="0"/>
                <w:sz w:val="20"/>
                <w:szCs w:val="20"/>
                <w:u w:val="none"/>
                <w:lang w:val="en-US" w:eastAsia="zh-CN" w:bidi="ar"/>
              </w:rPr>
              <w:t>部分</w:t>
            </w:r>
            <w:r>
              <w:rPr>
                <w:rFonts w:hint="eastAsia" w:ascii="仿宋" w:hAnsi="仿宋" w:eastAsia="仿宋" w:cs="仿宋"/>
                <w:i w:val="0"/>
                <w:iCs w:val="0"/>
                <w:color w:val="auto"/>
                <w:kern w:val="0"/>
                <w:sz w:val="20"/>
                <w:szCs w:val="20"/>
                <w:u w:val="none"/>
                <w:lang w:val="en-US" w:eastAsia="zh-CN" w:bidi="ar"/>
              </w:rPr>
              <w:t>完成</w:t>
            </w:r>
          </w:p>
        </w:tc>
        <w:tc>
          <w:tcPr>
            <w:tcW w:w="3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①2022年抽检案件1853件，查处1853件，查出率100%</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②执法人员数量124人，装备503套，人机比超过2人/套</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③行政处罚案件评查优秀率与上年一致，未实现较上年提高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572" w:type="dxa"/>
            <w:vMerge w:val="continue"/>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vMerge w:val="continue"/>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D0D0D"/>
                <w:sz w:val="20"/>
                <w:szCs w:val="20"/>
                <w:u w:val="none"/>
              </w:rPr>
            </w:pPr>
            <w:r>
              <w:rPr>
                <w:rFonts w:hint="eastAsia" w:ascii="仿宋" w:hAnsi="仿宋" w:eastAsia="仿宋" w:cs="仿宋"/>
                <w:i w:val="0"/>
                <w:iCs w:val="0"/>
                <w:color w:val="0D0D0D"/>
                <w:kern w:val="0"/>
                <w:sz w:val="20"/>
                <w:szCs w:val="20"/>
                <w:u w:val="none"/>
                <w:lang w:val="en-US" w:eastAsia="zh-CN" w:bidi="ar"/>
              </w:rPr>
              <w:t>知识产权价值实现</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①商标数量、地理标志产品数量是否较上年增长；</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②每万人拥有高价值发明专利数量是否较上年提升；</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③专利发明有效量是否较上年提升；</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完成</w:t>
            </w:r>
          </w:p>
        </w:tc>
        <w:tc>
          <w:tcPr>
            <w:tcW w:w="3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①2021年商标数量、地理标志产品数量29062件，2022年31988件，较上年增长；</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②2021年每万人拥有高价值发明专利数1.74件，2022年2.17件，较上年增长；</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③2021年专利发明有效量1121件，2022年1217件，较上年增长；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72" w:type="dxa"/>
            <w:vMerge w:val="continue"/>
            <w:tcBorders>
              <w:top w:val="nil"/>
              <w:left w:val="single" w:color="000000" w:sz="4" w:space="0"/>
              <w:bottom w:val="single" w:color="000000" w:sz="4" w:space="0"/>
              <w:right w:val="single" w:color="000000" w:sz="4" w:space="0"/>
            </w:tcBorders>
            <w:shd w:val="clear" w:color="000000" w:fill="FFFFFF"/>
            <w:vAlign w:val="center"/>
          </w:tcPr>
          <w:p>
            <w:pPr>
              <w:keepNext w:val="0"/>
              <w:keepLines w:val="0"/>
              <w:pageBreakBefore w:val="0"/>
              <w:kinsoku/>
              <w:wordWrap/>
              <w:overflowPunct/>
              <w:topLinePunct w:val="0"/>
              <w:autoSpaceDE/>
              <w:autoSpaceDN/>
              <w:bidi w:val="0"/>
              <w:adjustRightInd/>
              <w:snapToGrid w:val="0"/>
              <w:spacing w:line="400" w:lineRule="exact"/>
              <w:jc w:val="center"/>
              <w:rPr>
                <w:rFonts w:hint="eastAsia" w:ascii="仿宋" w:hAnsi="仿宋" w:eastAsia="仿宋" w:cs="仿宋"/>
                <w:i w:val="0"/>
                <w:iCs w:val="0"/>
                <w:color w:val="auto"/>
                <w:sz w:val="20"/>
                <w:szCs w:val="20"/>
                <w:u w:val="none"/>
              </w:rPr>
            </w:pPr>
          </w:p>
        </w:tc>
        <w:tc>
          <w:tcPr>
            <w:tcW w:w="897"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满意度</w:t>
            </w:r>
          </w:p>
        </w:tc>
        <w:tc>
          <w:tcPr>
            <w:tcW w:w="870"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公众满意度</w:t>
            </w:r>
          </w:p>
        </w:tc>
        <w:tc>
          <w:tcPr>
            <w:tcW w:w="2512"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市民对市场监督管理履职满意度</w:t>
            </w:r>
          </w:p>
        </w:tc>
        <w:tc>
          <w:tcPr>
            <w:tcW w:w="725" w:type="dxa"/>
            <w:tcBorders>
              <w:top w:val="nil"/>
              <w:left w:val="nil"/>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部分完成</w:t>
            </w:r>
          </w:p>
        </w:tc>
        <w:tc>
          <w:tcPr>
            <w:tcW w:w="3268"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玉溪市市场监督管理局部门整体绩效评价满意问卷份数270份，总份数309份，满意度87.38%。</w:t>
            </w:r>
          </w:p>
        </w:tc>
      </w:tr>
      <w:bookmarkEnd w:id="8"/>
    </w:tbl>
    <w:p>
      <w:pPr>
        <w:spacing w:line="579" w:lineRule="exact"/>
        <w:ind w:firstLine="654" w:firstLineChars="200"/>
        <w:outlineLvl w:val="1"/>
        <w:rPr>
          <w:rFonts w:ascii="楷体_GB2312" w:eastAsia="楷体_GB2312"/>
          <w:spacing w:val="6"/>
          <w:szCs w:val="30"/>
        </w:rPr>
      </w:pPr>
      <w:bookmarkStart w:id="9" w:name="_Toc15206"/>
      <w:r>
        <w:rPr>
          <w:rFonts w:ascii="楷体" w:hAnsi="楷体" w:eastAsia="楷体"/>
          <w:spacing w:val="6"/>
          <w:szCs w:val="30"/>
        </w:rPr>
        <w:fldChar w:fldCharType="begin"/>
      </w:r>
      <w:r>
        <w:rPr>
          <w:rFonts w:ascii="楷体" w:hAnsi="楷体" w:eastAsia="楷体"/>
          <w:spacing w:val="6"/>
          <w:szCs w:val="30"/>
        </w:rPr>
        <w:instrText xml:space="preserve"> HYPERLINK \l "_Toc434746189" </w:instrText>
      </w:r>
      <w:r>
        <w:rPr>
          <w:rFonts w:ascii="楷体" w:hAnsi="楷体" w:eastAsia="楷体"/>
          <w:spacing w:val="6"/>
          <w:szCs w:val="30"/>
        </w:rPr>
        <w:fldChar w:fldCharType="separate"/>
      </w:r>
      <w:r>
        <w:rPr>
          <w:rFonts w:hint="eastAsia" w:ascii="楷体" w:hAnsi="楷体" w:eastAsia="楷体"/>
          <w:spacing w:val="6"/>
          <w:szCs w:val="30"/>
        </w:rPr>
        <w:t>（</w:t>
      </w:r>
      <w:r>
        <w:rPr>
          <w:rFonts w:hint="eastAsia" w:ascii="楷体" w:hAnsi="楷体" w:eastAsia="楷体"/>
          <w:spacing w:val="6"/>
          <w:szCs w:val="30"/>
          <w:lang w:val="en-US" w:eastAsia="zh-CN"/>
        </w:rPr>
        <w:t>四</w:t>
      </w:r>
      <w:r>
        <w:rPr>
          <w:rFonts w:hint="eastAsia" w:ascii="楷体" w:hAnsi="楷体" w:eastAsia="楷体"/>
          <w:spacing w:val="6"/>
          <w:szCs w:val="30"/>
        </w:rPr>
        <w:t>）</w:t>
      </w:r>
      <w:r>
        <w:rPr>
          <w:rFonts w:ascii="楷体" w:hAnsi="楷体" w:eastAsia="楷体"/>
          <w:spacing w:val="6"/>
          <w:szCs w:val="30"/>
        </w:rPr>
        <w:fldChar w:fldCharType="end"/>
      </w:r>
      <w:r>
        <w:rPr>
          <w:rFonts w:hint="eastAsia" w:ascii="楷体" w:hAnsi="楷体" w:eastAsia="楷体"/>
          <w:spacing w:val="6"/>
          <w:szCs w:val="30"/>
        </w:rPr>
        <w:t>组织管理情况</w:t>
      </w:r>
      <w:bookmarkEnd w:id="9"/>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szCs w:val="30"/>
        </w:rPr>
      </w:pPr>
      <w:bookmarkStart w:id="10" w:name="_Toc18357"/>
      <w:r>
        <w:rPr>
          <w:rFonts w:hint="eastAsia" w:hAnsi="仿宋"/>
          <w:szCs w:val="30"/>
        </w:rPr>
        <w:t>1.部门预算管理情况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ascii="仿宋" w:hAnsi="仿宋" w:eastAsia="仿宋" w:cs="仿宋"/>
          <w:i w:val="0"/>
          <w:strike w:val="0"/>
          <w:color w:val="000000"/>
          <w:sz w:val="30"/>
          <w:u w:val="none"/>
        </w:rPr>
      </w:pPr>
      <w:r>
        <w:rPr>
          <w:rFonts w:ascii="仿宋" w:hAnsi="仿宋" w:eastAsia="仿宋" w:cs="仿宋"/>
          <w:i w:val="0"/>
          <w:strike w:val="0"/>
          <w:color w:val="000000"/>
          <w:sz w:val="30"/>
          <w:u w:val="none"/>
        </w:rPr>
        <w:t>市</w:t>
      </w:r>
      <w:r>
        <w:rPr>
          <w:rFonts w:hint="eastAsia" w:hAnsi="仿宋" w:cs="仿宋"/>
          <w:i w:val="0"/>
          <w:strike w:val="0"/>
          <w:color w:val="000000"/>
          <w:sz w:val="30"/>
          <w:u w:val="none"/>
          <w:lang w:val="en-US" w:eastAsia="zh-CN"/>
        </w:rPr>
        <w:t>市场监督管理局</w:t>
      </w:r>
      <w:r>
        <w:rPr>
          <w:rFonts w:ascii="仿宋" w:hAnsi="仿宋" w:eastAsia="仿宋" w:cs="仿宋"/>
          <w:i w:val="0"/>
          <w:strike w:val="0"/>
          <w:color w:val="000000"/>
          <w:sz w:val="30"/>
          <w:u w:val="none"/>
        </w:rPr>
        <w:t>为加强预算编制、预算执行与调整、预算考核等环节的工作，制定了预算业务管理办法并形成正式文件执行。适用于市</w:t>
      </w:r>
      <w:r>
        <w:rPr>
          <w:rFonts w:hint="eastAsia" w:hAnsi="仿宋" w:cs="仿宋"/>
          <w:i w:val="0"/>
          <w:strike w:val="0"/>
          <w:color w:val="000000"/>
          <w:sz w:val="30"/>
          <w:u w:val="none"/>
          <w:lang w:val="en-US" w:eastAsia="zh-CN"/>
        </w:rPr>
        <w:t>市场监督管理</w:t>
      </w:r>
      <w:r>
        <w:rPr>
          <w:rFonts w:ascii="仿宋" w:hAnsi="仿宋" w:eastAsia="仿宋" w:cs="仿宋"/>
          <w:i w:val="0"/>
          <w:strike w:val="0"/>
          <w:color w:val="000000"/>
          <w:sz w:val="30"/>
          <w:u w:val="none"/>
        </w:rPr>
        <w:t>局本级、下属事业单位和分局。根据玉溪市“十四五”</w:t>
      </w:r>
      <w:r>
        <w:rPr>
          <w:rFonts w:hint="eastAsia" w:hAnsi="仿宋" w:cs="仿宋"/>
          <w:i w:val="0"/>
          <w:strike w:val="0"/>
          <w:color w:val="000000"/>
          <w:sz w:val="30"/>
          <w:u w:val="none"/>
          <w:lang w:val="en-US" w:eastAsia="zh-CN"/>
        </w:rPr>
        <w:t>市场监管发展</w:t>
      </w:r>
      <w:r>
        <w:rPr>
          <w:rFonts w:ascii="仿宋" w:hAnsi="仿宋" w:eastAsia="仿宋" w:cs="仿宋"/>
          <w:i w:val="0"/>
          <w:strike w:val="0"/>
          <w:color w:val="000000"/>
          <w:sz w:val="30"/>
          <w:u w:val="none"/>
        </w:rPr>
        <w:t>规划、年度建设目标和任务及部门预算管理规定，各部门按年度（周期）编报综合性财务收支预算。</w:t>
      </w:r>
    </w:p>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rPr>
          <w:rFonts w:hint="eastAsia" w:hAnsi="仿宋"/>
          <w:szCs w:val="30"/>
        </w:rPr>
      </w:pPr>
      <w:r>
        <w:rPr>
          <w:rFonts w:hint="eastAsia" w:hAnsi="仿宋"/>
          <w:szCs w:val="30"/>
        </w:rPr>
        <w:t xml:space="preserve"> 2.主管部门及实施部门的各自职责情况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pPr>
      <w:r>
        <w:rPr>
          <w:rFonts w:ascii="仿宋" w:hAnsi="仿宋" w:eastAsia="仿宋" w:cs="仿宋"/>
          <w:i w:val="0"/>
          <w:strike w:val="0"/>
          <w:color w:val="000000"/>
          <w:sz w:val="30"/>
          <w:u w:val="none"/>
        </w:rPr>
        <w:t>（1）局党组会议、局长办公会是预算决策机构，主要职责：确定预算编制原则和要求；审议预算建议草案；监督预算执行与审议预算调整方案。</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eastAsia" w:ascii="仿宋" w:hAnsi="仿宋" w:eastAsia="仿宋" w:cs="仿宋"/>
          <w:i w:val="0"/>
          <w:strike w:val="0"/>
          <w:color w:val="000000"/>
          <w:sz w:val="30"/>
          <w:u w:val="none"/>
          <w:lang w:val="en-US" w:eastAsia="zh-CN"/>
        </w:rPr>
      </w:pPr>
      <w:r>
        <w:rPr>
          <w:rFonts w:hint="eastAsia" w:ascii="仿宋" w:hAnsi="仿宋" w:eastAsia="仿宋" w:cs="仿宋"/>
          <w:i w:val="0"/>
          <w:strike w:val="0"/>
          <w:color w:val="000000"/>
          <w:sz w:val="30"/>
          <w:u w:val="none"/>
          <w:lang w:val="en-US" w:eastAsia="zh-CN"/>
        </w:rPr>
        <w:t>（2）办公室是预算职能机构，主要职责：负责机关日常运转工作。承担文电、会务、机要、档案、统计、督查督办、新闻宣传、安全保卫、政务公开、信访、保密、建议和提案办理等机关内部管理和后勤保障服务工作；拟订市场监督管理中长期规划并组织实施；组织协调市场监督管理方面较大事故的应急处置和调查处理工作；承担市场监督管理电子信息化建设工作。</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ascii="仿宋" w:hAnsi="仿宋" w:eastAsia="仿宋" w:cs="仿宋"/>
          <w:i w:val="0"/>
          <w:strike w:val="0"/>
          <w:color w:val="000000"/>
          <w:sz w:val="30"/>
          <w:u w:val="none"/>
        </w:rPr>
      </w:pPr>
      <w:r>
        <w:rPr>
          <w:rFonts w:hint="eastAsia" w:ascii="仿宋" w:hAnsi="仿宋" w:eastAsia="仿宋" w:cs="仿宋"/>
          <w:i w:val="0"/>
          <w:strike w:val="0"/>
          <w:color w:val="000000"/>
          <w:sz w:val="30"/>
          <w:u w:val="none"/>
          <w:lang w:val="en-US" w:eastAsia="zh-CN"/>
        </w:rPr>
        <w:t>（3）财务科</w:t>
      </w:r>
      <w:r>
        <w:rPr>
          <w:rFonts w:hint="eastAsia" w:hAnsi="仿宋" w:cs="仿宋"/>
          <w:i w:val="0"/>
          <w:strike w:val="0"/>
          <w:color w:val="000000"/>
          <w:sz w:val="30"/>
          <w:u w:val="none"/>
          <w:lang w:val="en-US" w:eastAsia="zh-CN"/>
        </w:rPr>
        <w:t>主要职责：</w:t>
      </w:r>
      <w:r>
        <w:rPr>
          <w:rFonts w:ascii="仿宋" w:hAnsi="仿宋" w:eastAsia="仿宋" w:cs="仿宋"/>
          <w:i w:val="0"/>
          <w:strike w:val="0"/>
          <w:color w:val="000000"/>
          <w:sz w:val="30"/>
          <w:u w:val="none"/>
          <w:lang w:val="en-US" w:eastAsia="zh-CN"/>
        </w:rPr>
        <w:t>拟订机关和所属单位财务管理制度</w:t>
      </w:r>
      <w:r>
        <w:rPr>
          <w:rFonts w:hint="eastAsia" w:ascii="仿宋" w:hAnsi="仿宋" w:eastAsia="仿宋" w:cs="仿宋"/>
          <w:i w:val="0"/>
          <w:strike w:val="0"/>
          <w:color w:val="000000"/>
          <w:sz w:val="30"/>
          <w:u w:val="none"/>
          <w:lang w:val="en-US" w:eastAsia="zh-CN"/>
        </w:rPr>
        <w:t>并组织实施；负责机关和所属单位预算、决算，统筹安排和管理各项资金；负责财务、国有资产台账管理及内部审计等工作；承担专项经费和投资项目的申报、实施和监督管理工作；承担行政性收入和罚没款收缴工作；负责市场监督管理系统装备配备工作；指导基层规范化建设工作。</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default"/>
          <w:lang w:val="en-US"/>
        </w:rPr>
      </w:pPr>
      <w:r>
        <w:rPr>
          <w:rFonts w:ascii="仿宋" w:hAnsi="仿宋" w:eastAsia="仿宋" w:cs="仿宋"/>
          <w:i w:val="0"/>
          <w:strike w:val="0"/>
          <w:color w:val="000000"/>
          <w:sz w:val="30"/>
          <w:u w:val="none"/>
        </w:rPr>
        <w:t>（3）局本级各科室、办、中心、下属事业单位和分局（以下简称“各部门”）是预算执行机构，主要职责：</w:t>
      </w:r>
      <w:r>
        <w:rPr>
          <w:rFonts w:hint="eastAsia" w:hAnsi="仿宋" w:cs="仿宋"/>
          <w:i w:val="0"/>
          <w:strike w:val="0"/>
          <w:color w:val="000000"/>
          <w:sz w:val="30"/>
          <w:u w:val="none"/>
          <w:lang w:val="en-US" w:eastAsia="zh-CN"/>
        </w:rPr>
        <w:t>一方面，</w:t>
      </w:r>
      <w:r>
        <w:rPr>
          <w:rFonts w:ascii="仿宋" w:hAnsi="仿宋" w:eastAsia="仿宋" w:cs="仿宋"/>
          <w:i w:val="0"/>
          <w:strike w:val="0"/>
          <w:color w:val="000000"/>
          <w:sz w:val="30"/>
          <w:u w:val="none"/>
        </w:rPr>
        <w:t>根据</w:t>
      </w:r>
      <w:r>
        <w:rPr>
          <w:rFonts w:hint="eastAsia" w:hAnsi="仿宋" w:cs="仿宋"/>
          <w:i w:val="0"/>
          <w:strike w:val="0"/>
          <w:color w:val="000000"/>
          <w:sz w:val="30"/>
          <w:u w:val="none"/>
          <w:lang w:val="en-US" w:eastAsia="zh-CN"/>
        </w:rPr>
        <w:t>市场监管</w:t>
      </w:r>
      <w:r>
        <w:rPr>
          <w:rFonts w:ascii="仿宋" w:hAnsi="仿宋" w:eastAsia="仿宋" w:cs="仿宋"/>
          <w:i w:val="0"/>
          <w:strike w:val="0"/>
          <w:color w:val="000000"/>
          <w:sz w:val="30"/>
          <w:u w:val="none"/>
        </w:rPr>
        <w:t>规划和年度计划，提出本部门年度预算方案</w:t>
      </w:r>
      <w:r>
        <w:rPr>
          <w:rFonts w:hint="eastAsia" w:hAnsi="仿宋" w:cs="仿宋"/>
          <w:i w:val="0"/>
          <w:strike w:val="0"/>
          <w:color w:val="000000"/>
          <w:sz w:val="30"/>
          <w:u w:val="none"/>
          <w:lang w:eastAsia="zh-CN"/>
        </w:rPr>
        <w:t>，</w:t>
      </w:r>
      <w:r>
        <w:rPr>
          <w:rFonts w:ascii="仿宋" w:hAnsi="仿宋" w:eastAsia="仿宋" w:cs="仿宋"/>
          <w:i w:val="0"/>
          <w:strike w:val="0"/>
          <w:color w:val="000000"/>
          <w:sz w:val="30"/>
          <w:u w:val="none"/>
        </w:rPr>
        <w:t>履行本部门的预算支出责任；编报本部门具体预算执行方案和用款计划；严格执行预算，维护预算的严肃性和约束力；据实提出预算调整建议，并按规定程序报批；开展本部门预算绩效自评工作，并配合重点项目绩效评价工作。</w:t>
      </w:r>
      <w:r>
        <w:rPr>
          <w:rFonts w:hint="eastAsia" w:hAnsi="仿宋" w:cs="仿宋"/>
          <w:i w:val="0"/>
          <w:strike w:val="0"/>
          <w:color w:val="000000"/>
          <w:sz w:val="30"/>
          <w:u w:val="none"/>
          <w:lang w:val="en-US" w:eastAsia="zh-CN"/>
        </w:rPr>
        <w:t>另一方面，</w:t>
      </w:r>
      <w:r>
        <w:rPr>
          <w:rFonts w:ascii="仿宋" w:hAnsi="仿宋" w:eastAsia="仿宋" w:cs="仿宋"/>
          <w:i w:val="0"/>
          <w:strike w:val="0"/>
          <w:color w:val="000000"/>
          <w:sz w:val="30"/>
          <w:u w:val="none"/>
        </w:rPr>
        <w:t>局本级各科室</w:t>
      </w:r>
      <w:r>
        <w:rPr>
          <w:rFonts w:hint="eastAsia" w:hAnsi="仿宋" w:cs="仿宋"/>
          <w:i w:val="0"/>
          <w:strike w:val="0"/>
          <w:color w:val="000000"/>
          <w:sz w:val="30"/>
          <w:u w:val="none"/>
          <w:lang w:val="en-US" w:eastAsia="zh-CN"/>
        </w:rPr>
        <w:t>根据市委、市政府相关要求以及市场监管战略部署，制定具体实施计划和任务，并将各项任务分解下达至各</w:t>
      </w:r>
      <w:r>
        <w:rPr>
          <w:rFonts w:ascii="仿宋" w:hAnsi="仿宋" w:eastAsia="仿宋" w:cs="仿宋"/>
          <w:i w:val="0"/>
          <w:strike w:val="0"/>
          <w:color w:val="000000"/>
          <w:sz w:val="30"/>
          <w:u w:val="none"/>
        </w:rPr>
        <w:t>下属事业单位</w:t>
      </w:r>
      <w:r>
        <w:rPr>
          <w:rFonts w:hint="eastAsia" w:hAnsi="仿宋" w:cs="仿宋"/>
          <w:i w:val="0"/>
          <w:strike w:val="0"/>
          <w:color w:val="000000"/>
          <w:sz w:val="30"/>
          <w:u w:val="none"/>
          <w:lang w:val="en-US" w:eastAsia="zh-CN"/>
        </w:rPr>
        <w:t>。各</w:t>
      </w:r>
      <w:r>
        <w:rPr>
          <w:rFonts w:ascii="仿宋" w:hAnsi="仿宋" w:eastAsia="仿宋" w:cs="仿宋"/>
          <w:i w:val="0"/>
          <w:strike w:val="0"/>
          <w:color w:val="000000"/>
          <w:sz w:val="30"/>
          <w:u w:val="none"/>
        </w:rPr>
        <w:t>下属事业单位</w:t>
      </w:r>
      <w:r>
        <w:rPr>
          <w:rFonts w:hint="eastAsia" w:hAnsi="仿宋" w:cs="仿宋"/>
          <w:i w:val="0"/>
          <w:strike w:val="0"/>
          <w:color w:val="000000"/>
          <w:sz w:val="30"/>
          <w:u w:val="none"/>
          <w:lang w:val="en-US" w:eastAsia="zh-CN"/>
        </w:rPr>
        <w:t>具体开展相关工作，并严格履行市场监督执法职责，开展相关检测监督、检查执法工作，积极配合各级部门的相关工作。</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textAlignment w:val="auto"/>
        <w:outlineLvl w:val="0"/>
        <w:rPr>
          <w:rFonts w:ascii="黑体" w:hAnsi="宋体" w:eastAsia="黑体" w:cs="宋体"/>
          <w:spacing w:val="6"/>
          <w:szCs w:val="30"/>
        </w:rPr>
      </w:pPr>
      <w:bookmarkStart w:id="11" w:name="_Toc24130"/>
      <w:r>
        <w:rPr>
          <w:rFonts w:hint="eastAsia" w:ascii="黑体" w:hAnsi="宋体" w:eastAsia="黑体" w:cs="宋体"/>
          <w:spacing w:val="6"/>
          <w:szCs w:val="30"/>
          <w:lang w:eastAsia="zh-CN"/>
        </w:rPr>
        <w:t>二</w:t>
      </w:r>
      <w:r>
        <w:rPr>
          <w:rFonts w:hint="eastAsia" w:ascii="黑体" w:hAnsi="宋体" w:eastAsia="黑体" w:cs="宋体"/>
          <w:spacing w:val="6"/>
          <w:szCs w:val="30"/>
        </w:rPr>
        <w:t>、绩效</w:t>
      </w:r>
      <w:r>
        <w:rPr>
          <w:rFonts w:hint="eastAsia" w:ascii="黑体" w:hAnsi="宋体" w:eastAsia="黑体" w:cs="宋体"/>
          <w:spacing w:val="6"/>
          <w:szCs w:val="30"/>
          <w:lang w:eastAsia="zh-CN"/>
        </w:rPr>
        <w:t>评价工作开展</w:t>
      </w:r>
      <w:r>
        <w:rPr>
          <w:rFonts w:hint="eastAsia" w:ascii="黑体" w:hAnsi="宋体" w:eastAsia="黑体" w:cs="宋体"/>
          <w:spacing w:val="6"/>
          <w:szCs w:val="30"/>
        </w:rPr>
        <w:t>情况</w:t>
      </w:r>
      <w:bookmarkEnd w:id="10"/>
      <w:bookmarkEnd w:id="11"/>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textAlignment w:val="auto"/>
        <w:outlineLvl w:val="1"/>
        <w:rPr>
          <w:rFonts w:hint="eastAsia" w:ascii="楷体" w:hAnsi="楷体" w:eastAsia="楷体"/>
          <w:spacing w:val="6"/>
          <w:szCs w:val="30"/>
          <w:lang w:eastAsia="zh-CN"/>
        </w:rPr>
      </w:pPr>
      <w:bookmarkStart w:id="12" w:name="_Toc26202"/>
      <w:bookmarkStart w:id="13" w:name="_Toc15890"/>
      <w:r>
        <w:rPr>
          <w:rFonts w:hint="eastAsia" w:ascii="楷体" w:hAnsi="楷体" w:eastAsia="楷体"/>
          <w:spacing w:val="6"/>
          <w:szCs w:val="30"/>
        </w:rPr>
        <w:t>（一）绩效</w:t>
      </w:r>
      <w:r>
        <w:rPr>
          <w:rFonts w:hint="eastAsia" w:ascii="楷体" w:hAnsi="楷体" w:eastAsia="楷体"/>
          <w:spacing w:val="6"/>
          <w:szCs w:val="30"/>
          <w:lang w:eastAsia="zh-CN"/>
        </w:rPr>
        <w:t>评价目的、对象和范围</w:t>
      </w:r>
      <w:bookmarkEnd w:id="12"/>
      <w:bookmarkEnd w:id="13"/>
    </w:p>
    <w:p>
      <w:pPr>
        <w:spacing w:line="590" w:lineRule="exact"/>
        <w:ind w:firstLine="654" w:firstLineChars="200"/>
        <w:rPr>
          <w:rFonts w:hint="default" w:hAnsi="仿宋" w:eastAsia="仿宋"/>
          <w:spacing w:val="6"/>
          <w:szCs w:val="30"/>
          <w:lang w:val="en-US" w:eastAsia="zh-CN"/>
        </w:rPr>
      </w:pPr>
      <w:bookmarkStart w:id="14" w:name="_Toc22725"/>
      <w:r>
        <w:rPr>
          <w:rFonts w:hint="eastAsia" w:hAnsi="仿宋"/>
          <w:spacing w:val="6"/>
          <w:szCs w:val="30"/>
          <w:lang w:val="en-US" w:eastAsia="zh-CN"/>
        </w:rPr>
        <w:t>1.绩效评价目的</w:t>
      </w:r>
    </w:p>
    <w:p>
      <w:pPr>
        <w:spacing w:line="590" w:lineRule="exact"/>
        <w:ind w:firstLine="654" w:firstLineChars="200"/>
        <w:rPr>
          <w:rFonts w:hint="eastAsia" w:hAnsi="仿宋"/>
          <w:spacing w:val="6"/>
          <w:szCs w:val="30"/>
        </w:rPr>
      </w:pPr>
      <w:r>
        <w:rPr>
          <w:rFonts w:hint="eastAsia" w:hAnsi="仿宋"/>
          <w:spacing w:val="6"/>
          <w:szCs w:val="30"/>
        </w:rPr>
        <w:t>通过</w:t>
      </w:r>
      <w:r>
        <w:rPr>
          <w:rFonts w:hint="eastAsia" w:hAnsi="仿宋"/>
          <w:spacing w:val="6"/>
          <w:szCs w:val="30"/>
          <w:lang w:val="en-US" w:eastAsia="zh-CN"/>
        </w:rPr>
        <w:t>市市场监督管理局</w:t>
      </w:r>
      <w:r>
        <w:rPr>
          <w:rFonts w:hint="eastAsia" w:hAnsi="仿宋"/>
          <w:spacing w:val="6"/>
          <w:szCs w:val="30"/>
        </w:rPr>
        <w:t>2</w:t>
      </w:r>
      <w:r>
        <w:rPr>
          <w:rFonts w:hAnsi="仿宋"/>
          <w:spacing w:val="6"/>
          <w:szCs w:val="30"/>
        </w:rPr>
        <w:t>02</w:t>
      </w:r>
      <w:r>
        <w:rPr>
          <w:rFonts w:hint="eastAsia" w:hAnsi="仿宋"/>
          <w:spacing w:val="6"/>
          <w:szCs w:val="30"/>
          <w:lang w:val="en-US" w:eastAsia="zh-CN"/>
        </w:rPr>
        <w:t>2</w:t>
      </w:r>
      <w:r>
        <w:rPr>
          <w:rFonts w:hint="eastAsia" w:hAnsi="仿宋"/>
          <w:spacing w:val="6"/>
          <w:szCs w:val="30"/>
        </w:rPr>
        <w:t>年部门整体绩效评价，从决策、过程、产出、效益四个方面，考察部门预算执行管理、项目管理、资产管理、制度管理、职责履行、履职效益等相关工作，在此基础上发现问题并总结经验，为</w:t>
      </w:r>
      <w:r>
        <w:rPr>
          <w:rFonts w:hint="eastAsia" w:hAnsi="仿宋"/>
          <w:spacing w:val="6"/>
          <w:szCs w:val="30"/>
          <w:lang w:val="en-US" w:eastAsia="zh-CN"/>
        </w:rPr>
        <w:t>市市场监督管理局</w:t>
      </w:r>
      <w:r>
        <w:rPr>
          <w:rFonts w:hint="eastAsia" w:hAnsi="仿宋"/>
          <w:spacing w:val="6"/>
          <w:szCs w:val="30"/>
        </w:rPr>
        <w:t>进一步强化资金管理，提升履职效能，提高财政资金使用效益提供参考。</w:t>
      </w:r>
    </w:p>
    <w:p>
      <w:pPr>
        <w:spacing w:line="590" w:lineRule="exact"/>
        <w:ind w:firstLine="654" w:firstLineChars="200"/>
        <w:rPr>
          <w:rFonts w:hAnsi="仿宋"/>
          <w:spacing w:val="6"/>
          <w:szCs w:val="30"/>
        </w:rPr>
      </w:pPr>
      <w:r>
        <w:rPr>
          <w:rFonts w:hint="eastAsia" w:hAnsi="仿宋"/>
          <w:spacing w:val="6"/>
          <w:szCs w:val="30"/>
        </w:rPr>
        <w:t>2.绩效评价对象和范围</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54" w:firstLineChars="200"/>
        <w:jc w:val="both"/>
        <w:textAlignment w:val="auto"/>
        <w:rPr>
          <w:rFonts w:hint="default" w:ascii="仿宋" w:hAnsi="仿宋" w:eastAsia="仿宋" w:cs="仿宋"/>
          <w:i w:val="0"/>
          <w:strike w:val="0"/>
          <w:color w:val="000000"/>
          <w:sz w:val="30"/>
          <w:u w:val="none"/>
          <w:lang w:val="en-US" w:eastAsia="zh-CN"/>
        </w:rPr>
      </w:pPr>
      <w:r>
        <w:rPr>
          <w:rFonts w:hint="eastAsia" w:hAnsi="仿宋" w:cs="Times New Roman"/>
          <w:spacing w:val="6"/>
          <w:szCs w:val="30"/>
        </w:rPr>
        <w:t>本次绩效评价的对象包括</w:t>
      </w:r>
      <w:r>
        <w:rPr>
          <w:rFonts w:hint="eastAsia" w:hAnsi="仿宋"/>
          <w:spacing w:val="6"/>
          <w:szCs w:val="30"/>
          <w:lang w:val="en-US" w:eastAsia="zh-CN"/>
        </w:rPr>
        <w:t>市市场监督管理局</w:t>
      </w:r>
      <w:r>
        <w:rPr>
          <w:rFonts w:hint="eastAsia" w:hAnsi="仿宋" w:cs="Times New Roman"/>
          <w:spacing w:val="6"/>
          <w:szCs w:val="30"/>
        </w:rPr>
        <w:t>机关本级、下属事业单位。评价的资金范围包括</w:t>
      </w:r>
      <w:r>
        <w:rPr>
          <w:rFonts w:hint="eastAsia" w:hAnsi="仿宋" w:cs="仿宋"/>
          <w:i w:val="0"/>
          <w:strike w:val="0"/>
          <w:color w:val="000000"/>
          <w:sz w:val="30"/>
          <w:u w:val="none"/>
          <w:lang w:val="en-US" w:eastAsia="zh-CN"/>
        </w:rPr>
        <w:t>市</w:t>
      </w:r>
      <w:r>
        <w:rPr>
          <w:rFonts w:hint="eastAsia" w:ascii="仿宋" w:hAnsi="仿宋" w:eastAsia="仿宋" w:cs="仿宋"/>
          <w:i w:val="0"/>
          <w:strike w:val="0"/>
          <w:color w:val="000000"/>
          <w:sz w:val="30"/>
          <w:u w:val="none"/>
          <w:lang w:val="en-US" w:eastAsia="zh-CN"/>
        </w:rPr>
        <w:t>本级财政预算资金</w:t>
      </w:r>
      <w:r>
        <w:rPr>
          <w:rFonts w:hint="eastAsia" w:hAnsi="仿宋" w:cs="仿宋"/>
          <w:i w:val="0"/>
          <w:strike w:val="0"/>
          <w:color w:val="000000"/>
          <w:sz w:val="30"/>
          <w:u w:val="none"/>
          <w:lang w:val="en-US" w:eastAsia="zh-CN"/>
        </w:rPr>
        <w:t>8,728.56</w:t>
      </w:r>
      <w:r>
        <w:rPr>
          <w:rFonts w:hint="eastAsia" w:ascii="仿宋" w:hAnsi="仿宋" w:eastAsia="仿宋" w:cs="仿宋"/>
          <w:i w:val="0"/>
          <w:strike w:val="0"/>
          <w:color w:val="000000"/>
          <w:sz w:val="30"/>
          <w:u w:val="none"/>
          <w:lang w:val="en-US" w:eastAsia="zh-CN"/>
        </w:rPr>
        <w:t>万元；上级转移支付项目资金</w:t>
      </w:r>
      <w:r>
        <w:rPr>
          <w:rFonts w:hint="eastAsia" w:hAnsi="仿宋" w:cs="仿宋"/>
          <w:i w:val="0"/>
          <w:strike w:val="0"/>
          <w:color w:val="000000"/>
          <w:sz w:val="30"/>
          <w:u w:val="none"/>
          <w:lang w:val="en-US" w:eastAsia="zh-CN"/>
        </w:rPr>
        <w:t>415.75</w:t>
      </w:r>
      <w:r>
        <w:rPr>
          <w:rFonts w:hint="eastAsia" w:ascii="仿宋" w:hAnsi="仿宋" w:eastAsia="仿宋" w:cs="仿宋"/>
          <w:i w:val="0"/>
          <w:strike w:val="0"/>
          <w:color w:val="000000"/>
          <w:sz w:val="30"/>
          <w:u w:val="none"/>
          <w:lang w:val="en-US" w:eastAsia="zh-CN"/>
        </w:rPr>
        <w:t>万元。</w:t>
      </w:r>
      <w:r>
        <w:rPr>
          <w:rFonts w:hint="eastAsia" w:hAnsi="仿宋" w:cs="仿宋"/>
          <w:i w:val="0"/>
          <w:strike w:val="0"/>
          <w:color w:val="000000"/>
          <w:sz w:val="30"/>
          <w:u w:val="none"/>
          <w:lang w:val="en-US" w:eastAsia="zh-CN"/>
        </w:rPr>
        <w:t>共计9,144.31</w:t>
      </w:r>
      <w:r>
        <w:rPr>
          <w:rFonts w:hint="eastAsia" w:ascii="仿宋" w:hAnsi="仿宋" w:eastAsia="仿宋" w:cs="仿宋"/>
          <w:i w:val="0"/>
          <w:strike w:val="0"/>
          <w:color w:val="000000"/>
          <w:sz w:val="30"/>
          <w:u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textAlignment w:val="auto"/>
        <w:outlineLvl w:val="1"/>
        <w:rPr>
          <w:rFonts w:ascii="楷体" w:hAnsi="楷体" w:eastAsia="楷体"/>
          <w:spacing w:val="6"/>
          <w:szCs w:val="30"/>
        </w:rPr>
      </w:pPr>
      <w:bookmarkStart w:id="15" w:name="_Toc22653"/>
      <w:r>
        <w:rPr>
          <w:rFonts w:hint="eastAsia" w:ascii="楷体" w:hAnsi="楷体" w:eastAsia="楷体"/>
          <w:spacing w:val="6"/>
          <w:szCs w:val="30"/>
        </w:rPr>
        <w:t>（二）绩效</w:t>
      </w:r>
      <w:r>
        <w:rPr>
          <w:rFonts w:hint="eastAsia" w:ascii="楷体" w:hAnsi="楷体" w:eastAsia="楷体"/>
          <w:spacing w:val="6"/>
          <w:szCs w:val="30"/>
          <w:lang w:eastAsia="zh-CN"/>
        </w:rPr>
        <w:t>评价原则、评价指标体系、评价方法、评价标准和评价抽样</w:t>
      </w:r>
      <w:bookmarkEnd w:id="14"/>
      <w:bookmarkEnd w:id="15"/>
    </w:p>
    <w:p>
      <w:pPr>
        <w:spacing w:line="590" w:lineRule="exact"/>
        <w:ind w:firstLine="654" w:firstLineChars="200"/>
        <w:rPr>
          <w:rFonts w:hAnsi="仿宋"/>
          <w:spacing w:val="6"/>
          <w:szCs w:val="30"/>
        </w:rPr>
      </w:pPr>
      <w:r>
        <w:rPr>
          <w:rFonts w:hint="eastAsia" w:hAnsi="仿宋"/>
          <w:spacing w:val="6"/>
          <w:szCs w:val="30"/>
        </w:rPr>
        <w:t>1</w:t>
      </w:r>
      <w:r>
        <w:rPr>
          <w:rFonts w:hAnsi="仿宋"/>
          <w:spacing w:val="6"/>
          <w:szCs w:val="30"/>
        </w:rPr>
        <w:t>.</w:t>
      </w:r>
      <w:r>
        <w:rPr>
          <w:rFonts w:hint="eastAsia" w:hAnsi="仿宋"/>
          <w:spacing w:val="6"/>
          <w:szCs w:val="30"/>
        </w:rPr>
        <w:t>绩效评价原则</w:t>
      </w:r>
    </w:p>
    <w:p>
      <w:pPr>
        <w:spacing w:line="590" w:lineRule="exact"/>
        <w:ind w:firstLine="654" w:firstLineChars="200"/>
        <w:rPr>
          <w:rFonts w:hAnsi="仿宋"/>
          <w:spacing w:val="6"/>
          <w:szCs w:val="30"/>
        </w:rPr>
      </w:pPr>
      <w:r>
        <w:rPr>
          <w:rFonts w:hint="eastAsia" w:hAnsi="仿宋"/>
          <w:spacing w:val="6"/>
          <w:szCs w:val="30"/>
        </w:rPr>
        <w:t>（1）科学规范原则。绩效评价注重财政支出的经济性、效率性和有效性，严格执行规定的程序，合理确定绩效目标和评价内容，运用简便、实用、定量与定性分析相结合的方法，规范进行评价。</w:t>
      </w:r>
    </w:p>
    <w:p>
      <w:pPr>
        <w:spacing w:line="590" w:lineRule="exact"/>
        <w:ind w:firstLine="654" w:firstLineChars="200"/>
        <w:rPr>
          <w:rFonts w:hAnsi="仿宋"/>
          <w:spacing w:val="6"/>
          <w:szCs w:val="30"/>
        </w:rPr>
      </w:pPr>
      <w:r>
        <w:rPr>
          <w:rFonts w:hint="eastAsia" w:hAnsi="仿宋"/>
          <w:spacing w:val="6"/>
          <w:szCs w:val="30"/>
        </w:rPr>
        <w:t>（2）公正公开原则。绩效评价符合真实、客观、公正的要求，坚持客观、公平、公正，做到依据合法、标准统一、资料可靠、实事求是、公开透明，并接受监督。</w:t>
      </w:r>
    </w:p>
    <w:p>
      <w:pPr>
        <w:spacing w:line="590" w:lineRule="exact"/>
        <w:ind w:firstLine="654" w:firstLineChars="200"/>
        <w:rPr>
          <w:rFonts w:hAnsi="仿宋"/>
          <w:spacing w:val="6"/>
          <w:szCs w:val="30"/>
        </w:rPr>
      </w:pPr>
      <w:r>
        <w:rPr>
          <w:rFonts w:hint="eastAsia" w:hAnsi="仿宋"/>
          <w:spacing w:val="6"/>
          <w:szCs w:val="30"/>
        </w:rPr>
        <w:t>（3）分级分类原则。本次绩效评价</w:t>
      </w:r>
      <w:r>
        <w:rPr>
          <w:rFonts w:hAnsi="仿宋"/>
          <w:spacing w:val="6"/>
          <w:szCs w:val="30"/>
        </w:rPr>
        <w:t>根据评价对象特点分类组织实施</w:t>
      </w:r>
      <w:r>
        <w:rPr>
          <w:rFonts w:hint="eastAsia" w:hAnsi="仿宋"/>
          <w:spacing w:val="6"/>
          <w:szCs w:val="30"/>
        </w:rPr>
        <w:t>，发现问题提出明确整改措施和要求，并及时整改落实。</w:t>
      </w:r>
    </w:p>
    <w:p>
      <w:pPr>
        <w:spacing w:line="590" w:lineRule="exact"/>
        <w:ind w:firstLine="654" w:firstLineChars="200"/>
        <w:rPr>
          <w:rFonts w:hAnsi="仿宋"/>
          <w:spacing w:val="6"/>
          <w:szCs w:val="30"/>
        </w:rPr>
      </w:pPr>
      <w:r>
        <w:rPr>
          <w:rFonts w:hint="eastAsia" w:hAnsi="仿宋"/>
          <w:spacing w:val="6"/>
          <w:szCs w:val="30"/>
        </w:rPr>
        <w:t>（4）绩效相关原则。绩效评价针对具体支出及其产出绩效进行，评价结果清晰反映支出和产出绩效之间的紧密对应关系。</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default" w:ascii="仿宋" w:hAnsi="仿宋" w:eastAsia="仿宋" w:cs="仿宋"/>
          <w:i w:val="0"/>
          <w:strike w:val="0"/>
          <w:color w:val="000000"/>
          <w:sz w:val="30"/>
          <w:u w:val="none"/>
          <w:lang w:val="en-US" w:eastAsia="zh-CN"/>
        </w:rPr>
      </w:pPr>
      <w:r>
        <w:rPr>
          <w:rFonts w:hint="eastAsia" w:hAnsi="仿宋" w:cs="仿宋"/>
          <w:i w:val="0"/>
          <w:strike w:val="0"/>
          <w:color w:val="000000"/>
          <w:sz w:val="30"/>
          <w:u w:val="none"/>
          <w:lang w:val="en-US" w:eastAsia="zh-CN"/>
        </w:rPr>
        <w:t>2.评价指标体系</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pPr>
      <w:r>
        <w:rPr>
          <w:rFonts w:ascii="仿宋" w:hAnsi="仿宋" w:eastAsia="仿宋" w:cs="仿宋"/>
          <w:i w:val="0"/>
          <w:strike w:val="0"/>
          <w:color w:val="000000"/>
          <w:sz w:val="30"/>
          <w:u w:val="none"/>
        </w:rPr>
        <w:t>本次拟定的绩效评价指标体</w:t>
      </w:r>
      <w:r>
        <w:rPr>
          <w:rFonts w:ascii="仿宋" w:hAnsi="仿宋" w:eastAsia="仿宋" w:cs="仿宋"/>
          <w:i w:val="0"/>
          <w:strike w:val="0"/>
          <w:color w:val="000000"/>
          <w:sz w:val="30"/>
          <w:highlight w:val="none"/>
          <w:u w:val="none"/>
        </w:rPr>
        <w:t>系共有三级指标，一级指标4个，二级指标</w:t>
      </w:r>
      <w:r>
        <w:rPr>
          <w:rFonts w:hint="eastAsia" w:hAnsi="仿宋" w:cs="仿宋"/>
          <w:i w:val="0"/>
          <w:strike w:val="0"/>
          <w:color w:val="000000"/>
          <w:sz w:val="30"/>
          <w:highlight w:val="none"/>
          <w:u w:val="none"/>
          <w:lang w:val="en-US" w:eastAsia="zh-CN"/>
        </w:rPr>
        <w:t>8</w:t>
      </w:r>
      <w:r>
        <w:rPr>
          <w:rFonts w:ascii="仿宋" w:hAnsi="仿宋" w:eastAsia="仿宋" w:cs="仿宋"/>
          <w:i w:val="0"/>
          <w:strike w:val="0"/>
          <w:color w:val="000000"/>
          <w:sz w:val="30"/>
          <w:highlight w:val="none"/>
          <w:u w:val="none"/>
        </w:rPr>
        <w:t>个,三级指标</w:t>
      </w:r>
      <w:r>
        <w:rPr>
          <w:rFonts w:hint="eastAsia" w:hAnsi="仿宋" w:cs="仿宋"/>
          <w:i w:val="0"/>
          <w:strike w:val="0"/>
          <w:color w:val="000000"/>
          <w:sz w:val="30"/>
          <w:highlight w:val="none"/>
          <w:u w:val="none"/>
          <w:lang w:val="en-US" w:eastAsia="zh-CN"/>
        </w:rPr>
        <w:t>27</w:t>
      </w:r>
      <w:r>
        <w:rPr>
          <w:rFonts w:ascii="仿宋" w:hAnsi="仿宋" w:eastAsia="仿宋" w:cs="仿宋"/>
          <w:i w:val="0"/>
          <w:strike w:val="0"/>
          <w:color w:val="000000"/>
          <w:sz w:val="30"/>
          <w:highlight w:val="none"/>
          <w:u w:val="none"/>
        </w:rPr>
        <w:t>个。</w:t>
      </w:r>
      <w:r>
        <w:rPr>
          <w:rFonts w:ascii="仿宋" w:hAnsi="仿宋" w:eastAsia="仿宋" w:cs="仿宋"/>
          <w:i w:val="0"/>
          <w:strike w:val="0"/>
          <w:color w:val="000000"/>
          <w:sz w:val="30"/>
          <w:u w:val="none"/>
        </w:rPr>
        <w:t>在确定绩效指标评价维度时按照</w:t>
      </w:r>
      <w:r>
        <w:rPr>
          <w:rFonts w:ascii="仿宋" w:hAnsi="仿宋" w:eastAsia="仿宋" w:cs="仿宋"/>
          <w:i w:val="0"/>
          <w:strike w:val="0"/>
          <w:color w:val="000000"/>
          <w:spacing w:val="6"/>
          <w:sz w:val="30"/>
          <w:u w:val="none"/>
        </w:rPr>
        <w:t>《</w:t>
      </w:r>
      <w:r>
        <w:rPr>
          <w:rFonts w:hint="eastAsia" w:hAnsi="仿宋" w:cs="仿宋"/>
          <w:i w:val="0"/>
          <w:strike w:val="0"/>
          <w:color w:val="000000"/>
          <w:spacing w:val="6"/>
          <w:sz w:val="30"/>
          <w:u w:val="none"/>
          <w:lang w:val="en-US" w:eastAsia="zh-CN"/>
        </w:rPr>
        <w:t>玉溪市财政局关于转发</w:t>
      </w:r>
      <w:r>
        <w:rPr>
          <w:rFonts w:ascii="仿宋" w:hAnsi="仿宋" w:eastAsia="仿宋" w:cs="仿宋"/>
          <w:i w:val="0"/>
          <w:strike w:val="0"/>
          <w:color w:val="000000"/>
          <w:spacing w:val="6"/>
          <w:sz w:val="30"/>
          <w:u w:val="none"/>
        </w:rPr>
        <w:t>&lt;云南省项目支出绩效评价管理办法&gt;的通知》（玉财投〔2020〕6号）</w:t>
      </w:r>
      <w:r>
        <w:rPr>
          <w:rFonts w:ascii="仿宋" w:hAnsi="仿宋" w:eastAsia="仿宋" w:cs="仿宋"/>
          <w:i w:val="0"/>
          <w:strike w:val="0"/>
          <w:color w:val="000000"/>
          <w:sz w:val="30"/>
          <w:u w:val="none"/>
        </w:rPr>
        <w:t>的要求，从决策-过程-产出-效益4个维度综合评价。在确定评价内容和标准时，按照部门职能职责任务分解情况，结合工作计划，以反映部门履职效益，具体从以下几个方面设置绩效评价指标体系的评价内容和标准。</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pPr>
      <w:r>
        <w:rPr>
          <w:rFonts w:ascii="仿宋" w:hAnsi="仿宋" w:eastAsia="仿宋" w:cs="仿宋"/>
          <w:i w:val="0"/>
          <w:strike w:val="0"/>
          <w:color w:val="000000"/>
          <w:sz w:val="30"/>
          <w:u w:val="none"/>
        </w:rPr>
        <w:t>1.反映项目决策、管理的关键环节。按照主管部门的职责和专项资金管理的程序，在设置决策指标时，以目标设置的准确性、预算配置的合理性和预算执行明确性为主。在设置过程指标时，紧紧围绕部门职能，中长期规划和“十四五”规划等合理性设置指标，反映部门整体管理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ascii="仿宋" w:hAnsi="仿宋" w:eastAsia="仿宋" w:cs="仿宋"/>
          <w:i w:val="0"/>
          <w:strike w:val="0"/>
          <w:color w:val="000000"/>
          <w:sz w:val="30"/>
          <w:u w:val="none"/>
        </w:rPr>
      </w:pPr>
      <w:r>
        <w:rPr>
          <w:rFonts w:ascii="仿宋" w:hAnsi="仿宋" w:eastAsia="仿宋" w:cs="仿宋"/>
          <w:i w:val="0"/>
          <w:strike w:val="0"/>
          <w:color w:val="000000"/>
          <w:sz w:val="30"/>
          <w:u w:val="none"/>
        </w:rPr>
        <w:t>2.反映部门履职效率和成效方面的主要产出和综合效益。在设置职责履行和履职成效指标时，围绕项目年度任务分解情况，以反映</w:t>
      </w:r>
      <w:r>
        <w:rPr>
          <w:rFonts w:hint="eastAsia" w:hAnsi="仿宋" w:cs="仿宋"/>
          <w:i w:val="0"/>
          <w:strike w:val="0"/>
          <w:color w:val="000000"/>
          <w:sz w:val="30"/>
          <w:u w:val="none"/>
          <w:lang w:val="en-US" w:eastAsia="zh-CN"/>
        </w:rPr>
        <w:t>市场监督管理</w:t>
      </w:r>
      <w:r>
        <w:rPr>
          <w:rFonts w:ascii="仿宋" w:hAnsi="仿宋" w:eastAsia="仿宋" w:cs="仿宋"/>
          <w:i w:val="0"/>
          <w:strike w:val="0"/>
          <w:color w:val="000000"/>
          <w:sz w:val="30"/>
          <w:u w:val="none"/>
        </w:rPr>
        <w:t>为主的履职情况。</w:t>
      </w:r>
    </w:p>
    <w:p>
      <w:pPr>
        <w:spacing w:line="590" w:lineRule="exact"/>
        <w:ind w:firstLine="654" w:firstLineChars="200"/>
        <w:rPr>
          <w:rFonts w:hAnsi="仿宋"/>
          <w:spacing w:val="6"/>
          <w:szCs w:val="30"/>
        </w:rPr>
      </w:pPr>
      <w:r>
        <w:rPr>
          <w:rFonts w:hint="eastAsia" w:hAnsi="仿宋"/>
          <w:spacing w:val="6"/>
          <w:szCs w:val="30"/>
        </w:rPr>
        <w:t>3.绩效评价方法</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pPr>
      <w:r>
        <w:rPr>
          <w:rFonts w:hint="eastAsia" w:hAnsi="仿宋" w:cs="仿宋"/>
          <w:i w:val="0"/>
          <w:strike w:val="0"/>
          <w:color w:val="000000"/>
          <w:sz w:val="30"/>
          <w:u w:val="none"/>
          <w:lang w:eastAsia="zh-CN"/>
        </w:rPr>
        <w:t>（</w:t>
      </w:r>
      <w:r>
        <w:rPr>
          <w:rFonts w:hint="eastAsia" w:hAnsi="仿宋" w:cs="仿宋"/>
          <w:i w:val="0"/>
          <w:strike w:val="0"/>
          <w:color w:val="000000"/>
          <w:sz w:val="30"/>
          <w:u w:val="none"/>
          <w:lang w:val="en-US" w:eastAsia="zh-CN"/>
        </w:rPr>
        <w:t>1）</w:t>
      </w:r>
      <w:r>
        <w:rPr>
          <w:rFonts w:ascii="仿宋" w:hAnsi="仿宋" w:eastAsia="仿宋" w:cs="仿宋"/>
          <w:i w:val="0"/>
          <w:strike w:val="0"/>
          <w:color w:val="000000"/>
          <w:sz w:val="30"/>
          <w:u w:val="none"/>
        </w:rPr>
        <w:t>综合比较法：对部门实际情况，采取不同维度的比较方法。对于实施目的明确，实施计划清晰的项目内容，将当期实施情况与预先计划或目标进行对比分析；对于成本易于计算而效益不易计量的项目支出内容，采用比较多个方案成本高低的方法评价资金投入的经济性；对于历史数据完整充分的项目支出内容，分析其历史上的价格变化及效益波动情况。</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pPr>
      <w:r>
        <w:rPr>
          <w:rFonts w:hint="eastAsia" w:hAnsi="仿宋" w:cs="仿宋"/>
          <w:i w:val="0"/>
          <w:strike w:val="0"/>
          <w:color w:val="000000"/>
          <w:sz w:val="30"/>
          <w:u w:val="none"/>
          <w:lang w:eastAsia="zh-CN"/>
        </w:rPr>
        <w:t>（</w:t>
      </w:r>
      <w:r>
        <w:rPr>
          <w:rFonts w:hint="eastAsia" w:hAnsi="仿宋" w:cs="仿宋"/>
          <w:i w:val="0"/>
          <w:strike w:val="0"/>
          <w:color w:val="000000"/>
          <w:sz w:val="30"/>
          <w:u w:val="none"/>
          <w:lang w:val="en-US" w:eastAsia="zh-CN"/>
        </w:rPr>
        <w:t>2）</w:t>
      </w:r>
      <w:r>
        <w:rPr>
          <w:rFonts w:ascii="仿宋" w:hAnsi="仿宋" w:eastAsia="仿宋" w:cs="仿宋"/>
          <w:i w:val="0"/>
          <w:strike w:val="0"/>
          <w:color w:val="000000"/>
          <w:sz w:val="30"/>
          <w:u w:val="none"/>
        </w:rPr>
        <w:t>资料查阅和政策解读：首先通过全面查阅被评价单位提交的项目相关资料，主要包括项目预算安排、项目管理制度文件、项目资金使用相关凭证、项目实施完成相关统计数据，工作总结、贯彻执行的有关政策文件，项目实施档案资料等。</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pPr>
      <w:r>
        <w:rPr>
          <w:rFonts w:hint="eastAsia" w:hAnsi="仿宋" w:cs="仿宋"/>
          <w:i w:val="0"/>
          <w:strike w:val="0"/>
          <w:color w:val="000000"/>
          <w:sz w:val="30"/>
          <w:u w:val="none"/>
          <w:lang w:eastAsia="zh-CN"/>
        </w:rPr>
        <w:t>（</w:t>
      </w:r>
      <w:r>
        <w:rPr>
          <w:rFonts w:hint="eastAsia" w:hAnsi="仿宋" w:cs="仿宋"/>
          <w:i w:val="0"/>
          <w:strike w:val="0"/>
          <w:color w:val="000000"/>
          <w:sz w:val="30"/>
          <w:u w:val="none"/>
          <w:lang w:val="en-US" w:eastAsia="zh-CN"/>
        </w:rPr>
        <w:t>3）</w:t>
      </w:r>
      <w:r>
        <w:rPr>
          <w:rFonts w:ascii="仿宋" w:hAnsi="仿宋" w:eastAsia="仿宋" w:cs="仿宋"/>
          <w:i w:val="0"/>
          <w:strike w:val="0"/>
          <w:color w:val="000000"/>
          <w:sz w:val="30"/>
          <w:u w:val="none"/>
        </w:rPr>
        <w:t>因素分析法：将影响投入和产生的各项因素罗列出来进行分析，并将投入产出比进行计算据以评价的一种方法，如该项目中实施进度缓慢影响因素较多，评价中仅对客观、主观、外环境和内环境等进行因素分析及评价。</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ascii="仿宋" w:hAnsi="仿宋" w:eastAsia="仿宋" w:cs="仿宋"/>
          <w:i w:val="0"/>
          <w:strike w:val="0"/>
          <w:color w:val="000000"/>
          <w:sz w:val="30"/>
          <w:u w:val="none"/>
        </w:rPr>
      </w:pPr>
      <w:r>
        <w:rPr>
          <w:rFonts w:hint="eastAsia" w:hAnsi="仿宋" w:cs="仿宋"/>
          <w:i w:val="0"/>
          <w:strike w:val="0"/>
          <w:color w:val="000000"/>
          <w:sz w:val="30"/>
          <w:u w:val="none"/>
          <w:lang w:eastAsia="zh-CN"/>
        </w:rPr>
        <w:t>（</w:t>
      </w:r>
      <w:r>
        <w:rPr>
          <w:rFonts w:hint="eastAsia" w:hAnsi="仿宋" w:cs="仿宋"/>
          <w:i w:val="0"/>
          <w:strike w:val="0"/>
          <w:color w:val="000000"/>
          <w:sz w:val="30"/>
          <w:u w:val="none"/>
          <w:lang w:val="en-US" w:eastAsia="zh-CN"/>
        </w:rPr>
        <w:t>4）</w:t>
      </w:r>
      <w:r>
        <w:rPr>
          <w:rFonts w:ascii="仿宋" w:hAnsi="仿宋" w:eastAsia="仿宋" w:cs="仿宋"/>
          <w:i w:val="0"/>
          <w:strike w:val="0"/>
          <w:color w:val="000000"/>
          <w:sz w:val="30"/>
          <w:u w:val="none"/>
        </w:rPr>
        <w:t>公众评判法：对于无法用指标计量其效益的情形，基于水利项目社会公共服务及产品的属性，通过选择项目社会相关方进行综合评价，如社会公众、项目受益方、社会监督方等，进行访谈、问卷或抽样调查以评判其效益，社会公众的认同度高低为其评价标准。</w:t>
      </w:r>
    </w:p>
    <w:p>
      <w:pPr>
        <w:spacing w:line="590" w:lineRule="exact"/>
        <w:ind w:firstLine="654" w:firstLineChars="200"/>
        <w:rPr>
          <w:rFonts w:hAnsi="仿宋"/>
          <w:spacing w:val="6"/>
          <w:szCs w:val="30"/>
        </w:rPr>
      </w:pPr>
      <w:r>
        <w:rPr>
          <w:rFonts w:hint="eastAsia" w:hAnsi="仿宋"/>
          <w:spacing w:val="6"/>
          <w:szCs w:val="30"/>
        </w:rPr>
        <w:t>4.绩效评价标准</w:t>
      </w:r>
    </w:p>
    <w:p>
      <w:pPr>
        <w:spacing w:line="590" w:lineRule="exact"/>
        <w:ind w:firstLine="630" w:firstLineChars="200"/>
        <w:rPr>
          <w:rFonts w:hAnsi="仿宋"/>
          <w:spacing w:val="6"/>
          <w:szCs w:val="30"/>
        </w:rPr>
      </w:pPr>
      <w:r>
        <w:rPr>
          <w:rFonts w:hint="eastAsia" w:hAnsi="仿宋"/>
          <w:szCs w:val="30"/>
        </w:rPr>
        <w:t>本次评价采用百分制，各级指标依据其指标权重确定分值，最终得分由各级评价指标得分加总形成。根据最终得分将评价标准分为四个等级：优（得分≥90分）；良（80分≤得分＜90分）；中（60≤得分＜80分）；差（得分＜60分）</w:t>
      </w:r>
      <w:r>
        <w:rPr>
          <w:rFonts w:hAnsi="仿宋"/>
          <w:spacing w:val="6"/>
          <w:szCs w:val="30"/>
        </w:rPr>
        <w:t>。</w:t>
      </w:r>
    </w:p>
    <w:p>
      <w:pPr>
        <w:spacing w:line="590" w:lineRule="exact"/>
        <w:ind w:firstLine="630" w:firstLineChars="200"/>
        <w:rPr>
          <w:rFonts w:hint="eastAsia" w:hAnsi="仿宋"/>
          <w:szCs w:val="30"/>
          <w:lang w:val="en-US" w:eastAsia="zh-CN"/>
        </w:rPr>
      </w:pPr>
      <w:r>
        <w:rPr>
          <w:rFonts w:hint="eastAsia" w:hAnsi="仿宋"/>
          <w:szCs w:val="30"/>
          <w:lang w:val="en-US" w:eastAsia="zh-CN"/>
        </w:rPr>
        <w:t>5.评价抽样</w:t>
      </w:r>
    </w:p>
    <w:p>
      <w:pPr>
        <w:spacing w:line="590" w:lineRule="exact"/>
        <w:ind w:firstLine="630" w:firstLineChars="200"/>
        <w:rPr>
          <w:rFonts w:ascii="楷体" w:hAnsi="楷体" w:eastAsia="楷体"/>
          <w:spacing w:val="6"/>
          <w:szCs w:val="30"/>
        </w:rPr>
      </w:pPr>
      <w:r>
        <w:rPr>
          <w:rFonts w:hint="eastAsia" w:hAnsi="仿宋"/>
          <w:szCs w:val="30"/>
        </w:rPr>
        <w:t>根据部门预算支出情况，在抽样时主要考虑基本支出的金额占比、项目支出占比及部门年度所承担的重要工作等因素，本次选取了基本支出金额较大，承担重点工作较多的</w:t>
      </w:r>
      <w:r>
        <w:rPr>
          <w:rFonts w:hint="eastAsia" w:hAnsi="仿宋"/>
          <w:szCs w:val="30"/>
          <w:lang w:val="en-US" w:eastAsia="zh-CN"/>
        </w:rPr>
        <w:t>市市场监督管理局</w:t>
      </w:r>
      <w:bookmarkStart w:id="39" w:name="_GoBack"/>
      <w:bookmarkEnd w:id="39"/>
      <w:r>
        <w:rPr>
          <w:rFonts w:hint="eastAsia" w:hAnsi="仿宋"/>
          <w:szCs w:val="30"/>
          <w:lang w:val="en-US" w:eastAsia="zh-CN"/>
        </w:rPr>
        <w:t>机关</w:t>
      </w:r>
      <w:r>
        <w:rPr>
          <w:rFonts w:hint="eastAsia" w:hAnsi="仿宋"/>
          <w:szCs w:val="30"/>
        </w:rPr>
        <w:t>及</w:t>
      </w:r>
      <w:r>
        <w:rPr>
          <w:rFonts w:hint="eastAsia" w:hAnsi="仿宋"/>
          <w:szCs w:val="30"/>
          <w:lang w:val="en-US" w:eastAsia="zh-CN"/>
        </w:rPr>
        <w:t>高新区分局作为抽样点</w:t>
      </w:r>
      <w:r>
        <w:rPr>
          <w:rFonts w:hint="eastAsia" w:hAnsi="仿宋"/>
          <w:szCs w:val="30"/>
        </w:rPr>
        <w:t>。</w:t>
      </w:r>
      <w:r>
        <w:rPr>
          <w:rFonts w:hint="eastAsia" w:hAnsi="仿宋"/>
          <w:spacing w:val="6"/>
          <w:szCs w:val="30"/>
          <w:lang w:eastAsia="zh-CN"/>
        </w:rPr>
        <w:tab/>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textAlignment w:val="auto"/>
        <w:outlineLvl w:val="1"/>
        <w:rPr>
          <w:rFonts w:ascii="楷体" w:hAnsi="楷体" w:eastAsia="楷体"/>
          <w:spacing w:val="6"/>
          <w:szCs w:val="30"/>
        </w:rPr>
      </w:pPr>
      <w:bookmarkStart w:id="16" w:name="_Toc3458"/>
      <w:bookmarkStart w:id="17" w:name="_Toc9899"/>
      <w:r>
        <w:rPr>
          <w:rFonts w:hint="eastAsia" w:ascii="楷体" w:hAnsi="楷体" w:eastAsia="楷体"/>
          <w:spacing w:val="6"/>
          <w:szCs w:val="30"/>
        </w:rPr>
        <w:t>（三）绩效</w:t>
      </w:r>
      <w:r>
        <w:rPr>
          <w:rFonts w:hint="eastAsia" w:ascii="楷体" w:hAnsi="楷体" w:eastAsia="楷体"/>
          <w:spacing w:val="6"/>
          <w:szCs w:val="30"/>
          <w:lang w:eastAsia="zh-CN"/>
        </w:rPr>
        <w:t>评价工作过程</w:t>
      </w:r>
      <w:bookmarkEnd w:id="16"/>
      <w:bookmarkEnd w:id="17"/>
    </w:p>
    <w:p>
      <w:pPr>
        <w:spacing w:line="590" w:lineRule="exact"/>
        <w:ind w:firstLine="654" w:firstLineChars="200"/>
        <w:rPr>
          <w:rFonts w:hAnsi="仿宋"/>
          <w:spacing w:val="6"/>
          <w:szCs w:val="30"/>
        </w:rPr>
      </w:pPr>
      <w:bookmarkStart w:id="18" w:name="_Toc22691"/>
      <w:r>
        <w:rPr>
          <w:rFonts w:hint="eastAsia" w:hAnsi="仿宋"/>
          <w:spacing w:val="6"/>
          <w:szCs w:val="30"/>
        </w:rPr>
        <w:t>绩效评价工作过程主要为：开展项目前期调研，编制实施方案，实地评价，撰写绩效评价报告，出具绩效评价报告。</w:t>
      </w:r>
    </w:p>
    <w:p>
      <w:pPr>
        <w:spacing w:line="590" w:lineRule="exact"/>
        <w:ind w:firstLine="654" w:firstLineChars="200"/>
        <w:rPr>
          <w:rFonts w:hAnsi="仿宋"/>
          <w:spacing w:val="6"/>
          <w:szCs w:val="30"/>
        </w:rPr>
      </w:pPr>
      <w:r>
        <w:rPr>
          <w:rFonts w:hint="eastAsia" w:hAnsi="仿宋"/>
          <w:spacing w:val="6"/>
          <w:szCs w:val="30"/>
        </w:rPr>
        <w:t>1.开展项目前期调研</w:t>
      </w:r>
    </w:p>
    <w:p>
      <w:pPr>
        <w:spacing w:line="590" w:lineRule="exact"/>
        <w:ind w:firstLine="654" w:firstLineChars="200"/>
        <w:rPr>
          <w:rFonts w:hAnsi="仿宋"/>
          <w:spacing w:val="6"/>
          <w:szCs w:val="30"/>
        </w:rPr>
      </w:pPr>
      <w:r>
        <w:rPr>
          <w:rFonts w:hint="eastAsia" w:hAnsi="仿宋"/>
          <w:spacing w:val="6"/>
          <w:szCs w:val="30"/>
        </w:rPr>
        <w:t>项目组对</w:t>
      </w:r>
      <w:r>
        <w:rPr>
          <w:rFonts w:hint="eastAsia" w:hAnsi="仿宋"/>
          <w:spacing w:val="6"/>
          <w:szCs w:val="30"/>
          <w:lang w:val="en-US" w:eastAsia="zh-CN"/>
        </w:rPr>
        <w:t>市市场监督管理局</w:t>
      </w:r>
      <w:r>
        <w:rPr>
          <w:rFonts w:hint="eastAsia" w:hAnsi="仿宋"/>
          <w:spacing w:val="6"/>
          <w:szCs w:val="30"/>
        </w:rPr>
        <w:t>开展访谈和实地调研，获取相关文件和资料，了解项目开展范围、资金下达情况、项目实施情况和绩效自评情况。</w:t>
      </w:r>
    </w:p>
    <w:p>
      <w:pPr>
        <w:spacing w:line="590" w:lineRule="exact"/>
        <w:ind w:firstLine="654" w:firstLineChars="200"/>
        <w:rPr>
          <w:rFonts w:hAnsi="仿宋"/>
          <w:spacing w:val="6"/>
          <w:szCs w:val="30"/>
        </w:rPr>
      </w:pPr>
      <w:r>
        <w:rPr>
          <w:rFonts w:hint="eastAsia" w:hAnsi="仿宋"/>
          <w:spacing w:val="6"/>
          <w:szCs w:val="30"/>
        </w:rPr>
        <w:t>2.编制实施方案</w:t>
      </w:r>
    </w:p>
    <w:p>
      <w:pPr>
        <w:spacing w:line="590" w:lineRule="exact"/>
        <w:ind w:firstLine="654" w:firstLineChars="200"/>
        <w:rPr>
          <w:rFonts w:hAnsi="仿宋"/>
          <w:spacing w:val="6"/>
          <w:szCs w:val="30"/>
        </w:rPr>
      </w:pPr>
      <w:r>
        <w:rPr>
          <w:rFonts w:hint="eastAsia" w:hAnsi="仿宋"/>
          <w:spacing w:val="6"/>
          <w:szCs w:val="30"/>
        </w:rPr>
        <w:t>根据前期调研情况，研究和分析相关政策和资料，编制项目绩效评价实施方案，设计绩效评价指标体系。参与</w:t>
      </w:r>
      <w:r>
        <w:rPr>
          <w:rFonts w:hint="eastAsia" w:hAnsi="仿宋"/>
          <w:spacing w:val="6"/>
          <w:szCs w:val="30"/>
          <w:lang w:val="en-US" w:eastAsia="zh-CN"/>
        </w:rPr>
        <w:t>投合中心</w:t>
      </w:r>
      <w:r>
        <w:rPr>
          <w:rFonts w:hint="eastAsia" w:hAnsi="仿宋"/>
          <w:spacing w:val="6"/>
          <w:szCs w:val="30"/>
        </w:rPr>
        <w:t>组织的绩效评价实施方案会审，根据会审专家意见对实施方案进行修改，形成征求意见稿向评价相关方征求意见，进一步完善实施方案和评价指标体系。</w:t>
      </w:r>
    </w:p>
    <w:p>
      <w:pPr>
        <w:spacing w:line="590" w:lineRule="exact"/>
        <w:ind w:firstLine="654" w:firstLineChars="200"/>
        <w:rPr>
          <w:rFonts w:hAnsi="仿宋"/>
          <w:spacing w:val="6"/>
          <w:szCs w:val="30"/>
        </w:rPr>
      </w:pPr>
      <w:r>
        <w:rPr>
          <w:rFonts w:hint="eastAsia" w:hAnsi="仿宋"/>
          <w:spacing w:val="6"/>
          <w:szCs w:val="30"/>
        </w:rPr>
        <w:t>3.实地评价</w:t>
      </w:r>
    </w:p>
    <w:p>
      <w:pPr>
        <w:spacing w:line="590" w:lineRule="exact"/>
        <w:ind w:firstLine="654" w:firstLineChars="200"/>
        <w:rPr>
          <w:spacing w:val="6"/>
        </w:rPr>
      </w:pPr>
      <w:r>
        <w:rPr>
          <w:rFonts w:hint="eastAsia" w:hAnsi="仿宋"/>
          <w:spacing w:val="6"/>
          <w:szCs w:val="30"/>
        </w:rPr>
        <w:t>根据实施方案和评价指标体系，深入部门和项目现场进行实地评价，开展调研访谈、现场踏勘、问卷调查，资料收集等，审核及分析部门总体层面数据，为项目分析和评价报告提供客观的数据和相关佐证材料，根据评价工作方案和统一的评价指标体系进行评分。</w:t>
      </w:r>
    </w:p>
    <w:p>
      <w:pPr>
        <w:spacing w:line="590" w:lineRule="exact"/>
        <w:ind w:firstLine="654" w:firstLineChars="200"/>
        <w:rPr>
          <w:rFonts w:hAnsi="仿宋"/>
          <w:spacing w:val="6"/>
          <w:szCs w:val="30"/>
        </w:rPr>
      </w:pPr>
      <w:r>
        <w:rPr>
          <w:rFonts w:hint="eastAsia" w:hAnsi="仿宋"/>
          <w:spacing w:val="6"/>
          <w:szCs w:val="30"/>
        </w:rPr>
        <w:t>4</w:t>
      </w:r>
      <w:r>
        <w:rPr>
          <w:rFonts w:hAnsi="仿宋"/>
          <w:spacing w:val="6"/>
          <w:szCs w:val="30"/>
        </w:rPr>
        <w:t>.</w:t>
      </w:r>
      <w:r>
        <w:rPr>
          <w:rFonts w:hint="eastAsia" w:hAnsi="仿宋"/>
          <w:spacing w:val="6"/>
          <w:szCs w:val="30"/>
        </w:rPr>
        <w:t>撰写报告</w:t>
      </w:r>
    </w:p>
    <w:p>
      <w:pPr>
        <w:spacing w:line="590" w:lineRule="exact"/>
        <w:ind w:firstLine="654" w:firstLineChars="200"/>
        <w:rPr>
          <w:rFonts w:hAnsi="仿宋"/>
          <w:spacing w:val="6"/>
          <w:szCs w:val="30"/>
        </w:rPr>
      </w:pPr>
      <w:r>
        <w:rPr>
          <w:rFonts w:hint="eastAsia" w:hAnsi="仿宋"/>
          <w:spacing w:val="6"/>
          <w:szCs w:val="30"/>
        </w:rPr>
        <w:t>根据实地评价结果，整理、汇总信息资料，研究分析数据及问卷调查结果，形成报告（会审稿）。参与</w:t>
      </w:r>
      <w:r>
        <w:rPr>
          <w:rFonts w:hint="eastAsia" w:hAnsi="仿宋"/>
          <w:spacing w:val="6"/>
          <w:szCs w:val="30"/>
          <w:lang w:val="en-US" w:eastAsia="zh-CN"/>
        </w:rPr>
        <w:t>投合</w:t>
      </w:r>
      <w:r>
        <w:rPr>
          <w:rFonts w:hint="eastAsia" w:hAnsi="仿宋"/>
          <w:spacing w:val="6"/>
          <w:szCs w:val="30"/>
        </w:rPr>
        <w:t xml:space="preserve">中心组织的绩效评价报告会审，根据专家会审意见对评价报告进行修改，形成征求意见稿向评价相关方征求意见，在充分考虑评价相关方反馈意见的基础上，修改完善绩效评价报告。 </w:t>
      </w:r>
    </w:p>
    <w:p>
      <w:pPr>
        <w:spacing w:line="590" w:lineRule="exact"/>
        <w:ind w:firstLine="654" w:firstLineChars="200"/>
        <w:rPr>
          <w:rFonts w:hAnsi="仿宋"/>
          <w:spacing w:val="6"/>
          <w:szCs w:val="30"/>
        </w:rPr>
      </w:pPr>
      <w:r>
        <w:rPr>
          <w:rFonts w:hint="eastAsia" w:hAnsi="仿宋"/>
          <w:spacing w:val="6"/>
          <w:szCs w:val="30"/>
        </w:rPr>
        <w:t>5</w:t>
      </w:r>
      <w:r>
        <w:rPr>
          <w:rFonts w:hAnsi="仿宋"/>
          <w:spacing w:val="6"/>
          <w:szCs w:val="30"/>
        </w:rPr>
        <w:t>.</w:t>
      </w:r>
      <w:r>
        <w:rPr>
          <w:rFonts w:hint="eastAsia" w:hAnsi="仿宋"/>
          <w:spacing w:val="6"/>
          <w:szCs w:val="30"/>
        </w:rPr>
        <w:t>出具绩效评价报告：按规范要求出具绩效评价报告。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textAlignment w:val="auto"/>
        <w:outlineLvl w:val="0"/>
        <w:rPr>
          <w:rFonts w:ascii="黑体" w:hAnsi="宋体" w:eastAsia="黑体" w:cs="宋体"/>
          <w:spacing w:val="6"/>
          <w:szCs w:val="30"/>
          <w:highlight w:val="none"/>
        </w:rPr>
      </w:pPr>
      <w:bookmarkStart w:id="19" w:name="_Toc3092"/>
      <w:r>
        <w:rPr>
          <w:rFonts w:hint="eastAsia" w:ascii="黑体" w:hAnsi="宋体" w:eastAsia="黑体" w:cs="宋体"/>
          <w:spacing w:val="6"/>
          <w:szCs w:val="30"/>
          <w:highlight w:val="none"/>
          <w:lang w:eastAsia="zh-CN"/>
        </w:rPr>
        <w:t>三</w:t>
      </w:r>
      <w:r>
        <w:rPr>
          <w:rFonts w:hint="eastAsia" w:ascii="黑体" w:hAnsi="宋体" w:eastAsia="黑体" w:cs="宋体"/>
          <w:spacing w:val="6"/>
          <w:szCs w:val="30"/>
          <w:highlight w:val="none"/>
        </w:rPr>
        <w:t>、绩效评价结论</w:t>
      </w:r>
      <w:bookmarkEnd w:id="18"/>
      <w:bookmarkEnd w:id="19"/>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textAlignment w:val="auto"/>
        <w:outlineLvl w:val="1"/>
        <w:rPr>
          <w:rFonts w:ascii="楷体" w:hAnsi="楷体" w:eastAsia="楷体"/>
          <w:spacing w:val="6"/>
          <w:szCs w:val="30"/>
        </w:rPr>
      </w:pPr>
      <w:bookmarkStart w:id="20" w:name="_Toc14248"/>
      <w:bookmarkStart w:id="21" w:name="_Toc6065"/>
      <w:r>
        <w:rPr>
          <w:rFonts w:hint="eastAsia" w:ascii="楷体" w:hAnsi="楷体" w:eastAsia="楷体"/>
          <w:spacing w:val="6"/>
          <w:szCs w:val="30"/>
        </w:rPr>
        <w:t>（一）绩效评价综合结论</w:t>
      </w:r>
      <w:bookmarkEnd w:id="20"/>
      <w:bookmarkEnd w:id="21"/>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textAlignment w:val="auto"/>
        <w:rPr>
          <w:rFonts w:hint="eastAsia" w:ascii="黑体" w:hAnsi="黑体" w:eastAsia="黑体" w:cs="宋体"/>
          <w:bCs/>
          <w:sz w:val="24"/>
          <w:szCs w:val="24"/>
        </w:rPr>
      </w:pPr>
      <w:bookmarkStart w:id="22" w:name="_Hlk525314439"/>
      <w:r>
        <w:rPr>
          <w:rFonts w:hint="eastAsia" w:hAnsi="仿宋"/>
          <w:spacing w:val="6"/>
          <w:szCs w:val="30"/>
          <w:lang w:val="en-US" w:eastAsia="zh-CN"/>
        </w:rPr>
        <w:t>玉溪市市场监督管理局2022年</w:t>
      </w:r>
      <w:r>
        <w:rPr>
          <w:rFonts w:hint="eastAsia" w:hAnsi="仿宋"/>
          <w:spacing w:val="6"/>
          <w:szCs w:val="30"/>
          <w:lang w:eastAsia="zh-CN"/>
        </w:rPr>
        <w:t>部门整体</w:t>
      </w:r>
      <w:r>
        <w:rPr>
          <w:rFonts w:hint="eastAsia" w:hAnsi="仿宋"/>
          <w:spacing w:val="6"/>
          <w:szCs w:val="30"/>
        </w:rPr>
        <w:t>绩效评价得分</w:t>
      </w:r>
      <w:r>
        <w:rPr>
          <w:rFonts w:hint="eastAsia" w:hAnsi="仿宋"/>
          <w:spacing w:val="6"/>
          <w:szCs w:val="30"/>
          <w:lang w:val="en-US" w:eastAsia="zh-CN"/>
        </w:rPr>
        <w:t>84.89</w:t>
      </w:r>
      <w:r>
        <w:rPr>
          <w:rFonts w:hint="eastAsia" w:hAnsi="仿宋"/>
          <w:spacing w:val="6"/>
          <w:szCs w:val="30"/>
        </w:rPr>
        <w:t>分，评价等级为“</w:t>
      </w:r>
      <w:r>
        <w:rPr>
          <w:rFonts w:hint="eastAsia" w:hAnsi="仿宋"/>
          <w:spacing w:val="6"/>
          <w:szCs w:val="30"/>
          <w:lang w:val="en-US" w:eastAsia="zh-CN"/>
        </w:rPr>
        <w:t>良</w:t>
      </w:r>
      <w:r>
        <w:rPr>
          <w:rFonts w:hint="eastAsia" w:hAnsi="仿宋"/>
          <w:spacing w:val="6"/>
          <w:szCs w:val="30"/>
        </w:rPr>
        <w:t>”。一级指标具体得分情况详见下表：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6</w:t>
      </w:r>
      <w:r>
        <w:rPr>
          <w:rFonts w:hint="eastAsia" w:ascii="黑体" w:hAnsi="黑体" w:eastAsia="黑体" w:cs="宋体"/>
          <w:bCs/>
          <w:sz w:val="24"/>
          <w:szCs w:val="24"/>
        </w:rPr>
        <w:t>：绩效评价得分情况表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2212" w:type="dxa"/>
            <w:tcBorders>
              <w:top w:val="single" w:color="auto" w:sz="4" w:space="0"/>
            </w:tcBorders>
            <w:vAlign w:val="center"/>
          </w:tcPr>
          <w:p>
            <w:pPr>
              <w:snapToGrid w:val="0"/>
              <w:jc w:val="center"/>
              <w:rPr>
                <w:rFonts w:hAnsi="仿宋" w:cs="宋体"/>
                <w:b/>
                <w:bCs/>
                <w:spacing w:val="6"/>
                <w:sz w:val="21"/>
              </w:rPr>
            </w:pPr>
            <w:r>
              <w:rPr>
                <w:rFonts w:hint="eastAsia" w:hAnsi="仿宋" w:cs="宋体"/>
                <w:b/>
                <w:bCs/>
                <w:spacing w:val="6"/>
                <w:sz w:val="21"/>
              </w:rPr>
              <w:t>一级指标</w:t>
            </w:r>
          </w:p>
        </w:tc>
        <w:tc>
          <w:tcPr>
            <w:tcW w:w="2211" w:type="dxa"/>
            <w:tcBorders>
              <w:top w:val="single" w:color="auto" w:sz="4" w:space="0"/>
            </w:tcBorders>
            <w:vAlign w:val="center"/>
          </w:tcPr>
          <w:p>
            <w:pPr>
              <w:snapToGrid w:val="0"/>
              <w:jc w:val="center"/>
              <w:rPr>
                <w:rFonts w:hAnsi="仿宋" w:cs="宋体"/>
                <w:b/>
                <w:bCs/>
                <w:spacing w:val="6"/>
                <w:sz w:val="21"/>
              </w:rPr>
            </w:pPr>
            <w:r>
              <w:rPr>
                <w:rFonts w:hint="eastAsia" w:hAnsi="仿宋" w:cs="宋体"/>
                <w:b/>
                <w:bCs/>
                <w:spacing w:val="6"/>
                <w:sz w:val="21"/>
              </w:rPr>
              <w:t>指标分值</w:t>
            </w:r>
          </w:p>
        </w:tc>
        <w:tc>
          <w:tcPr>
            <w:tcW w:w="2211" w:type="dxa"/>
            <w:tcBorders>
              <w:top w:val="single" w:color="auto" w:sz="4" w:space="0"/>
            </w:tcBorders>
            <w:vAlign w:val="center"/>
          </w:tcPr>
          <w:p>
            <w:pPr>
              <w:snapToGrid w:val="0"/>
              <w:jc w:val="center"/>
              <w:rPr>
                <w:rFonts w:hAnsi="仿宋" w:cs="宋体"/>
                <w:b/>
                <w:bCs/>
                <w:spacing w:val="6"/>
                <w:sz w:val="21"/>
              </w:rPr>
            </w:pPr>
            <w:r>
              <w:rPr>
                <w:rFonts w:hint="eastAsia" w:hAnsi="仿宋" w:cs="宋体"/>
                <w:b/>
                <w:bCs/>
                <w:spacing w:val="6"/>
                <w:sz w:val="21"/>
              </w:rPr>
              <w:t>评价得分</w:t>
            </w:r>
          </w:p>
        </w:tc>
        <w:tc>
          <w:tcPr>
            <w:tcW w:w="2211" w:type="dxa"/>
            <w:tcBorders>
              <w:top w:val="single" w:color="auto" w:sz="4" w:space="0"/>
            </w:tcBorders>
            <w:vAlign w:val="center"/>
          </w:tcPr>
          <w:p>
            <w:pPr>
              <w:snapToGrid w:val="0"/>
              <w:jc w:val="center"/>
              <w:rPr>
                <w:rFonts w:hAnsi="仿宋" w:cs="宋体"/>
                <w:b/>
                <w:bCs/>
                <w:spacing w:val="6"/>
                <w:sz w:val="21"/>
              </w:rPr>
            </w:pPr>
            <w:r>
              <w:rPr>
                <w:rFonts w:hint="eastAsia" w:hAnsi="仿宋" w:cs="宋体"/>
                <w:b/>
                <w:bCs/>
                <w:spacing w:val="6"/>
                <w:sz w:val="21"/>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jc w:val="center"/>
              <w:rPr>
                <w:rFonts w:hint="eastAsia" w:hAnsi="仿宋" w:eastAsia="仿宋" w:cs="宋体"/>
                <w:bCs/>
                <w:spacing w:val="6"/>
                <w:sz w:val="21"/>
                <w:lang w:eastAsia="zh-CN"/>
              </w:rPr>
            </w:pPr>
            <w:r>
              <w:rPr>
                <w:rFonts w:hint="eastAsia" w:hAnsi="仿宋" w:cs="宋体"/>
                <w:bCs/>
                <w:spacing w:val="6"/>
                <w:sz w:val="21"/>
                <w:lang w:eastAsia="zh-CN"/>
              </w:rPr>
              <w:t>决策</w:t>
            </w:r>
          </w:p>
        </w:tc>
        <w:tc>
          <w:tcPr>
            <w:tcW w:w="2211" w:type="dxa"/>
            <w:vAlign w:val="center"/>
          </w:tcPr>
          <w:p>
            <w:pPr>
              <w:snapToGrid w:val="0"/>
              <w:jc w:val="center"/>
              <w:rPr>
                <w:rFonts w:hint="eastAsia" w:hAnsi="仿宋" w:eastAsia="仿宋" w:cs="宋体"/>
                <w:bCs/>
                <w:spacing w:val="6"/>
                <w:sz w:val="21"/>
                <w:lang w:eastAsia="zh-CN"/>
              </w:rPr>
            </w:pPr>
            <w:r>
              <w:rPr>
                <w:rFonts w:hAnsi="仿宋" w:cs="宋体"/>
                <w:bCs/>
                <w:spacing w:val="6"/>
                <w:sz w:val="21"/>
              </w:rPr>
              <w:t>1</w:t>
            </w:r>
            <w:r>
              <w:rPr>
                <w:rFonts w:hint="eastAsia" w:hAnsi="仿宋" w:cs="宋体"/>
                <w:bCs/>
                <w:spacing w:val="6"/>
                <w:sz w:val="21"/>
                <w:lang w:val="en-US" w:eastAsia="zh-CN"/>
              </w:rPr>
              <w:t>2</w:t>
            </w:r>
          </w:p>
        </w:tc>
        <w:tc>
          <w:tcPr>
            <w:tcW w:w="2211" w:type="dxa"/>
            <w:vAlign w:val="center"/>
          </w:tcPr>
          <w:p>
            <w:pPr>
              <w:snapToGrid w:val="0"/>
              <w:jc w:val="center"/>
              <w:rPr>
                <w:rFonts w:hint="default" w:hAnsi="仿宋" w:eastAsia="仿宋" w:cs="宋体"/>
                <w:bCs/>
                <w:spacing w:val="6"/>
                <w:sz w:val="21"/>
                <w:lang w:val="en-US" w:eastAsia="zh-CN"/>
              </w:rPr>
            </w:pPr>
            <w:r>
              <w:rPr>
                <w:rFonts w:hint="eastAsia" w:hAnsi="仿宋" w:cs="宋体"/>
                <w:bCs/>
                <w:spacing w:val="6"/>
                <w:sz w:val="21"/>
                <w:lang w:val="en-US" w:eastAsia="zh-CN"/>
              </w:rPr>
              <w:t>9</w:t>
            </w:r>
          </w:p>
        </w:tc>
        <w:tc>
          <w:tcPr>
            <w:tcW w:w="2211" w:type="dxa"/>
            <w:vAlign w:val="center"/>
          </w:tcPr>
          <w:p>
            <w:pPr>
              <w:snapToGrid w:val="0"/>
              <w:jc w:val="center"/>
              <w:rPr>
                <w:rFonts w:hint="default" w:hAnsi="仿宋" w:eastAsia="仿宋" w:cs="宋体"/>
                <w:bCs/>
                <w:spacing w:val="6"/>
                <w:sz w:val="21"/>
                <w:lang w:val="en-US" w:eastAsia="zh-CN"/>
              </w:rPr>
            </w:pPr>
            <w:r>
              <w:rPr>
                <w:rFonts w:hint="eastAsia" w:hAnsi="仿宋" w:cs="宋体"/>
                <w:bCs/>
                <w:spacing w:val="6"/>
                <w:sz w:val="21"/>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jc w:val="center"/>
              <w:rPr>
                <w:rFonts w:hAnsi="仿宋" w:cs="宋体"/>
                <w:bCs/>
                <w:spacing w:val="6"/>
                <w:sz w:val="21"/>
              </w:rPr>
            </w:pPr>
            <w:r>
              <w:rPr>
                <w:rFonts w:hAnsi="仿宋" w:cs="宋体"/>
                <w:bCs/>
                <w:spacing w:val="6"/>
                <w:sz w:val="21"/>
              </w:rPr>
              <w:t>过程</w:t>
            </w:r>
          </w:p>
        </w:tc>
        <w:tc>
          <w:tcPr>
            <w:tcW w:w="2211" w:type="dxa"/>
            <w:vAlign w:val="center"/>
          </w:tcPr>
          <w:p>
            <w:pPr>
              <w:snapToGrid w:val="0"/>
              <w:jc w:val="center"/>
              <w:rPr>
                <w:rFonts w:hint="eastAsia" w:hAnsi="仿宋" w:eastAsia="仿宋" w:cs="宋体"/>
                <w:bCs/>
                <w:spacing w:val="6"/>
                <w:sz w:val="21"/>
                <w:lang w:eastAsia="zh-CN"/>
              </w:rPr>
            </w:pPr>
            <w:r>
              <w:rPr>
                <w:rFonts w:hAnsi="仿宋" w:cs="宋体"/>
                <w:bCs/>
                <w:spacing w:val="6"/>
                <w:sz w:val="21"/>
              </w:rPr>
              <w:t>2</w:t>
            </w:r>
            <w:r>
              <w:rPr>
                <w:rFonts w:hint="eastAsia" w:hAnsi="仿宋" w:cs="宋体"/>
                <w:bCs/>
                <w:spacing w:val="6"/>
                <w:sz w:val="21"/>
                <w:lang w:val="en-US" w:eastAsia="zh-CN"/>
              </w:rPr>
              <w:t>3</w:t>
            </w:r>
          </w:p>
        </w:tc>
        <w:tc>
          <w:tcPr>
            <w:tcW w:w="2211" w:type="dxa"/>
            <w:vAlign w:val="center"/>
          </w:tcPr>
          <w:p>
            <w:pPr>
              <w:snapToGrid w:val="0"/>
              <w:jc w:val="center"/>
              <w:rPr>
                <w:rFonts w:hint="default" w:hAnsi="仿宋" w:eastAsia="仿宋" w:cs="宋体"/>
                <w:bCs/>
                <w:spacing w:val="6"/>
                <w:sz w:val="21"/>
                <w:lang w:val="en-US" w:eastAsia="zh-CN"/>
              </w:rPr>
            </w:pPr>
            <w:r>
              <w:rPr>
                <w:rFonts w:hint="default" w:hAnsi="仿宋" w:eastAsia="仿宋" w:cs="宋体"/>
                <w:bCs/>
                <w:spacing w:val="6"/>
                <w:sz w:val="21"/>
                <w:lang w:val="en-US" w:eastAsia="zh-CN"/>
              </w:rPr>
              <w:t>17.</w:t>
            </w:r>
            <w:r>
              <w:rPr>
                <w:rFonts w:hint="eastAsia" w:hAnsi="仿宋" w:cs="宋体"/>
                <w:bCs/>
                <w:spacing w:val="6"/>
                <w:sz w:val="21"/>
                <w:lang w:val="en-US" w:eastAsia="zh-CN"/>
              </w:rPr>
              <w:t>89</w:t>
            </w:r>
          </w:p>
        </w:tc>
        <w:tc>
          <w:tcPr>
            <w:tcW w:w="2211" w:type="dxa"/>
            <w:vAlign w:val="center"/>
          </w:tcPr>
          <w:p>
            <w:pPr>
              <w:snapToGrid w:val="0"/>
              <w:jc w:val="center"/>
              <w:rPr>
                <w:rFonts w:hint="default" w:hAnsi="仿宋" w:eastAsia="仿宋" w:cs="宋体"/>
                <w:bCs/>
                <w:spacing w:val="6"/>
                <w:sz w:val="21"/>
                <w:lang w:val="en-US" w:eastAsia="zh-CN"/>
              </w:rPr>
            </w:pPr>
            <w:r>
              <w:rPr>
                <w:rFonts w:hint="default" w:hAnsi="仿宋" w:eastAsia="仿宋" w:cs="宋体"/>
                <w:bCs/>
                <w:spacing w:val="6"/>
                <w:sz w:val="21"/>
                <w:lang w:val="en-US" w:eastAsia="zh-CN"/>
              </w:rPr>
              <w:t>7</w:t>
            </w:r>
            <w:r>
              <w:rPr>
                <w:rFonts w:hint="eastAsia" w:hAnsi="仿宋" w:cs="宋体"/>
                <w:bCs/>
                <w:spacing w:val="6"/>
                <w:sz w:val="21"/>
                <w:lang w:val="en-US" w:eastAsia="zh-CN"/>
              </w:rPr>
              <w:t>7.78</w:t>
            </w:r>
            <w:r>
              <w:rPr>
                <w:rFonts w:hint="default" w:hAnsi="仿宋" w:eastAsia="仿宋" w:cs="宋体"/>
                <w:bCs/>
                <w:spacing w:val="6"/>
                <w:sz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2" w:type="dxa"/>
            <w:vAlign w:val="center"/>
          </w:tcPr>
          <w:p>
            <w:pPr>
              <w:snapToGrid w:val="0"/>
              <w:jc w:val="center"/>
              <w:rPr>
                <w:rFonts w:hAnsi="仿宋" w:cs="宋体"/>
                <w:bCs/>
                <w:spacing w:val="6"/>
                <w:sz w:val="21"/>
              </w:rPr>
            </w:pPr>
            <w:r>
              <w:rPr>
                <w:rFonts w:hAnsi="仿宋" w:cs="宋体"/>
                <w:bCs/>
                <w:spacing w:val="6"/>
                <w:sz w:val="21"/>
              </w:rPr>
              <w:t>产出</w:t>
            </w:r>
          </w:p>
        </w:tc>
        <w:tc>
          <w:tcPr>
            <w:tcW w:w="2211" w:type="dxa"/>
            <w:vAlign w:val="center"/>
          </w:tcPr>
          <w:p>
            <w:pPr>
              <w:snapToGrid w:val="0"/>
              <w:jc w:val="center"/>
              <w:rPr>
                <w:rFonts w:hint="eastAsia" w:hAnsi="仿宋" w:eastAsia="仿宋" w:cs="宋体"/>
                <w:bCs/>
                <w:spacing w:val="6"/>
                <w:sz w:val="21"/>
                <w:lang w:eastAsia="zh-CN"/>
              </w:rPr>
            </w:pPr>
            <w:r>
              <w:rPr>
                <w:rFonts w:hAnsi="仿宋" w:cs="宋体"/>
                <w:bCs/>
                <w:spacing w:val="6"/>
                <w:sz w:val="21"/>
              </w:rPr>
              <w:t>3</w:t>
            </w:r>
            <w:r>
              <w:rPr>
                <w:rFonts w:hint="eastAsia" w:hAnsi="仿宋" w:cs="宋体"/>
                <w:bCs/>
                <w:spacing w:val="6"/>
                <w:sz w:val="21"/>
                <w:lang w:val="en-US" w:eastAsia="zh-CN"/>
              </w:rPr>
              <w:t>0</w:t>
            </w:r>
          </w:p>
        </w:tc>
        <w:tc>
          <w:tcPr>
            <w:tcW w:w="2211" w:type="dxa"/>
            <w:vAlign w:val="center"/>
          </w:tcPr>
          <w:p>
            <w:pPr>
              <w:snapToGrid w:val="0"/>
              <w:jc w:val="center"/>
              <w:rPr>
                <w:rFonts w:hint="default" w:hAnsi="仿宋" w:eastAsia="仿宋" w:cs="宋体"/>
                <w:bCs/>
                <w:spacing w:val="6"/>
                <w:sz w:val="21"/>
                <w:lang w:val="en-US" w:eastAsia="zh-CN"/>
              </w:rPr>
            </w:pPr>
            <w:r>
              <w:rPr>
                <w:rFonts w:hint="default" w:hAnsi="仿宋" w:eastAsia="仿宋" w:cs="宋体"/>
                <w:bCs/>
                <w:spacing w:val="6"/>
                <w:sz w:val="21"/>
                <w:lang w:val="en-US" w:eastAsia="zh-CN"/>
              </w:rPr>
              <w:t>27</w:t>
            </w:r>
          </w:p>
        </w:tc>
        <w:tc>
          <w:tcPr>
            <w:tcW w:w="2211" w:type="dxa"/>
            <w:vAlign w:val="center"/>
          </w:tcPr>
          <w:p>
            <w:pPr>
              <w:snapToGrid w:val="0"/>
              <w:jc w:val="center"/>
              <w:rPr>
                <w:rFonts w:hint="default" w:hAnsi="仿宋" w:eastAsia="仿宋" w:cs="宋体"/>
                <w:bCs/>
                <w:spacing w:val="6"/>
                <w:sz w:val="21"/>
                <w:lang w:val="en-US" w:eastAsia="zh-CN"/>
              </w:rPr>
            </w:pPr>
            <w:r>
              <w:rPr>
                <w:rFonts w:hint="default" w:hAnsi="仿宋" w:eastAsia="仿宋" w:cs="宋体"/>
                <w:bCs/>
                <w:spacing w:val="6"/>
                <w:sz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jc w:val="center"/>
              <w:rPr>
                <w:rFonts w:hint="eastAsia" w:hAnsi="仿宋" w:eastAsia="仿宋" w:cs="宋体"/>
                <w:bCs/>
                <w:spacing w:val="6"/>
                <w:sz w:val="21"/>
                <w:lang w:eastAsia="zh-CN"/>
              </w:rPr>
            </w:pPr>
            <w:r>
              <w:rPr>
                <w:rFonts w:hint="eastAsia" w:hAnsi="仿宋" w:cs="宋体"/>
                <w:bCs/>
                <w:spacing w:val="6"/>
                <w:sz w:val="21"/>
                <w:lang w:eastAsia="zh-CN"/>
              </w:rPr>
              <w:t>效益</w:t>
            </w:r>
          </w:p>
        </w:tc>
        <w:tc>
          <w:tcPr>
            <w:tcW w:w="2211" w:type="dxa"/>
            <w:vAlign w:val="center"/>
          </w:tcPr>
          <w:p>
            <w:pPr>
              <w:snapToGrid w:val="0"/>
              <w:jc w:val="center"/>
              <w:rPr>
                <w:rFonts w:hint="eastAsia" w:hAnsi="仿宋" w:eastAsia="仿宋" w:cs="宋体"/>
                <w:bCs/>
                <w:spacing w:val="6"/>
                <w:sz w:val="21"/>
                <w:lang w:eastAsia="zh-CN"/>
              </w:rPr>
            </w:pPr>
            <w:r>
              <w:rPr>
                <w:rFonts w:hAnsi="仿宋" w:cs="宋体"/>
                <w:bCs/>
                <w:spacing w:val="6"/>
                <w:sz w:val="21"/>
              </w:rPr>
              <w:t>3</w:t>
            </w:r>
            <w:r>
              <w:rPr>
                <w:rFonts w:hint="eastAsia" w:hAnsi="仿宋" w:cs="宋体"/>
                <w:bCs/>
                <w:spacing w:val="6"/>
                <w:sz w:val="21"/>
                <w:lang w:val="en-US" w:eastAsia="zh-CN"/>
              </w:rPr>
              <w:t>5</w:t>
            </w:r>
          </w:p>
        </w:tc>
        <w:tc>
          <w:tcPr>
            <w:tcW w:w="2211" w:type="dxa"/>
            <w:vAlign w:val="center"/>
          </w:tcPr>
          <w:p>
            <w:pPr>
              <w:snapToGrid w:val="0"/>
              <w:jc w:val="center"/>
              <w:rPr>
                <w:rFonts w:hint="default" w:hAnsi="仿宋" w:eastAsia="仿宋" w:cs="宋体"/>
                <w:bCs/>
                <w:spacing w:val="6"/>
                <w:sz w:val="21"/>
                <w:lang w:val="en-US" w:eastAsia="zh-CN"/>
              </w:rPr>
            </w:pPr>
            <w:r>
              <w:rPr>
                <w:rFonts w:hint="default" w:hAnsi="仿宋" w:eastAsia="仿宋" w:cs="宋体"/>
                <w:bCs/>
                <w:spacing w:val="6"/>
                <w:sz w:val="21"/>
                <w:lang w:val="en-US" w:eastAsia="zh-CN"/>
              </w:rPr>
              <w:t>31</w:t>
            </w:r>
          </w:p>
        </w:tc>
        <w:tc>
          <w:tcPr>
            <w:tcW w:w="2211" w:type="dxa"/>
            <w:vAlign w:val="center"/>
          </w:tcPr>
          <w:p>
            <w:pPr>
              <w:snapToGrid w:val="0"/>
              <w:jc w:val="center"/>
              <w:rPr>
                <w:rFonts w:hint="default" w:hAnsi="仿宋" w:eastAsia="仿宋" w:cs="宋体"/>
                <w:bCs/>
                <w:spacing w:val="6"/>
                <w:sz w:val="21"/>
                <w:lang w:val="en-US" w:eastAsia="zh-CN"/>
              </w:rPr>
            </w:pPr>
            <w:r>
              <w:rPr>
                <w:rFonts w:hint="default" w:hAnsi="仿宋" w:eastAsia="仿宋" w:cs="宋体"/>
                <w:bCs/>
                <w:spacing w:val="6"/>
                <w:sz w:val="21"/>
                <w:lang w:val="en-US" w:eastAsia="zh-CN"/>
              </w:rPr>
              <w:t>88.58%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2212" w:type="dxa"/>
            <w:vAlign w:val="center"/>
          </w:tcPr>
          <w:p>
            <w:pPr>
              <w:snapToGrid w:val="0"/>
              <w:jc w:val="center"/>
              <w:rPr>
                <w:rFonts w:hAnsi="仿宋" w:cs="宋体"/>
                <w:b/>
                <w:bCs/>
                <w:spacing w:val="6"/>
                <w:sz w:val="21"/>
              </w:rPr>
            </w:pPr>
            <w:r>
              <w:rPr>
                <w:rFonts w:hAnsi="仿宋" w:cs="宋体"/>
                <w:b/>
                <w:bCs/>
                <w:spacing w:val="6"/>
                <w:sz w:val="21"/>
              </w:rPr>
              <w:t>合</w:t>
            </w:r>
            <w:r>
              <w:rPr>
                <w:rFonts w:hint="eastAsia" w:hAnsi="仿宋" w:cs="宋体"/>
                <w:b/>
                <w:bCs/>
                <w:spacing w:val="6"/>
                <w:sz w:val="21"/>
              </w:rPr>
              <w:t xml:space="preserve"> </w:t>
            </w:r>
            <w:r>
              <w:rPr>
                <w:rFonts w:hAnsi="仿宋" w:cs="宋体"/>
                <w:b/>
                <w:bCs/>
                <w:spacing w:val="6"/>
                <w:sz w:val="21"/>
              </w:rPr>
              <w:t>计</w:t>
            </w:r>
          </w:p>
        </w:tc>
        <w:tc>
          <w:tcPr>
            <w:tcW w:w="2211" w:type="dxa"/>
            <w:vAlign w:val="center"/>
          </w:tcPr>
          <w:p>
            <w:pPr>
              <w:snapToGrid w:val="0"/>
              <w:jc w:val="center"/>
              <w:rPr>
                <w:rFonts w:hAnsi="仿宋" w:cs="宋体"/>
                <w:b/>
                <w:bCs/>
                <w:spacing w:val="6"/>
                <w:sz w:val="21"/>
              </w:rPr>
            </w:pPr>
            <w:r>
              <w:rPr>
                <w:rFonts w:hint="eastAsia" w:hAnsi="仿宋" w:cs="宋体"/>
                <w:b/>
                <w:bCs/>
                <w:spacing w:val="6"/>
                <w:sz w:val="21"/>
              </w:rPr>
              <w:t>1</w:t>
            </w:r>
            <w:r>
              <w:rPr>
                <w:rFonts w:hAnsi="仿宋" w:cs="宋体"/>
                <w:b/>
                <w:bCs/>
                <w:spacing w:val="6"/>
                <w:sz w:val="21"/>
              </w:rPr>
              <w:t>00</w:t>
            </w:r>
          </w:p>
        </w:tc>
        <w:tc>
          <w:tcPr>
            <w:tcW w:w="2211" w:type="dxa"/>
            <w:vAlign w:val="center"/>
          </w:tcPr>
          <w:p>
            <w:pPr>
              <w:snapToGrid w:val="0"/>
              <w:jc w:val="center"/>
              <w:rPr>
                <w:rFonts w:hint="default" w:hAnsi="仿宋" w:eastAsia="仿宋" w:cs="宋体"/>
                <w:b/>
                <w:bCs/>
                <w:spacing w:val="6"/>
                <w:sz w:val="21"/>
                <w:lang w:val="en-US" w:eastAsia="zh-CN"/>
              </w:rPr>
            </w:pPr>
            <w:r>
              <w:rPr>
                <w:rFonts w:hint="eastAsia" w:hAnsi="仿宋" w:cs="宋体"/>
                <w:b/>
                <w:bCs/>
                <w:spacing w:val="6"/>
                <w:sz w:val="21"/>
                <w:lang w:val="en-US" w:eastAsia="zh-CN"/>
              </w:rPr>
              <w:t>84.89</w:t>
            </w:r>
          </w:p>
        </w:tc>
        <w:tc>
          <w:tcPr>
            <w:tcW w:w="2211" w:type="dxa"/>
            <w:vAlign w:val="center"/>
          </w:tcPr>
          <w:p>
            <w:pPr>
              <w:snapToGrid w:val="0"/>
              <w:jc w:val="center"/>
              <w:rPr>
                <w:rFonts w:hint="default" w:hAnsi="仿宋" w:eastAsia="仿宋" w:cs="宋体"/>
                <w:b/>
                <w:bCs/>
                <w:spacing w:val="6"/>
                <w:sz w:val="21"/>
                <w:lang w:val="en-US" w:eastAsia="zh-CN"/>
              </w:rPr>
            </w:pPr>
            <w:r>
              <w:rPr>
                <w:rFonts w:hint="eastAsia" w:hAnsi="仿宋" w:cs="宋体"/>
                <w:b/>
                <w:bCs/>
                <w:spacing w:val="6"/>
                <w:sz w:val="21"/>
                <w:lang w:val="en-US" w:eastAsia="zh-CN"/>
              </w:rPr>
              <w:t>84.89%</w:t>
            </w:r>
          </w:p>
        </w:tc>
      </w:tr>
    </w:tbl>
    <w:p>
      <w:pPr>
        <w:keepNext w:val="0"/>
        <w:keepLines w:val="0"/>
        <w:pageBreakBefore w:val="0"/>
        <w:widowControl w:val="0"/>
        <w:kinsoku/>
        <w:wordWrap/>
        <w:overflowPunct/>
        <w:topLinePunct w:val="0"/>
        <w:autoSpaceDE/>
        <w:autoSpaceDN/>
        <w:bidi w:val="0"/>
        <w:adjustRightInd/>
        <w:snapToGrid/>
        <w:spacing w:line="590" w:lineRule="exact"/>
        <w:ind w:firstLine="630" w:firstLineChars="200"/>
        <w:textAlignment w:val="auto"/>
        <w:outlineLvl w:val="9"/>
        <w:rPr>
          <w:rFonts w:hint="eastAsia" w:ascii="仿宋" w:hAnsi="仿宋" w:eastAsia="仿宋" w:cs="仿宋"/>
          <w:i w:val="0"/>
          <w:strike w:val="0"/>
          <w:color w:val="000000"/>
          <w:sz w:val="30"/>
          <w:highlight w:val="none"/>
          <w:u w:val="none"/>
        </w:rPr>
      </w:pPr>
      <w:r>
        <w:rPr>
          <w:rFonts w:hint="eastAsia" w:hAnsi="仿宋" w:cs="仿宋"/>
          <w:i w:val="0"/>
          <w:strike w:val="0"/>
          <w:color w:val="000000"/>
          <w:sz w:val="30"/>
          <w:u w:val="none"/>
          <w:lang w:val="en-US" w:eastAsia="zh-CN"/>
        </w:rPr>
        <w:t>综合评价结论：2022年玉溪市市场监督管理局深入贯彻落实</w:t>
      </w:r>
      <w:r>
        <w:rPr>
          <w:rFonts w:hint="eastAsia" w:hAnsi="仿宋" w:cs="Times New Roman"/>
          <w:szCs w:val="30"/>
        </w:rPr>
        <w:t>创新和完善市场监管，推进市场监管现代化，建立统一开放竞争有序的现代市场体系的客观需要，</w:t>
      </w:r>
      <w:r>
        <w:rPr>
          <w:rFonts w:hint="eastAsia" w:hAnsi="仿宋" w:cs="Times New Roman"/>
          <w:szCs w:val="30"/>
          <w:lang w:val="en-US" w:eastAsia="zh-CN"/>
        </w:rPr>
        <w:t>市场监管体系逐步完善，</w:t>
      </w:r>
      <w:r>
        <w:rPr>
          <w:rFonts w:hint="eastAsia" w:hAnsi="仿宋" w:cs="Times New Roman"/>
          <w:szCs w:val="30"/>
        </w:rPr>
        <w:t>围绕省委省政府把玉溪建成“一极两区”发展目标，切实转变监管理念，形成宽松便捷的营商环境、公平有序的竞争环境、安全放心的消费环境、创新驱动的发展环境等方面取得突破</w:t>
      </w:r>
      <w:r>
        <w:rPr>
          <w:rFonts w:hint="eastAsia" w:hAnsi="仿宋" w:cs="Times New Roman"/>
          <w:szCs w:val="30"/>
          <w:lang w:eastAsia="zh-CN"/>
        </w:rPr>
        <w:t>。</w:t>
      </w:r>
      <w:r>
        <w:rPr>
          <w:rFonts w:hint="eastAsia" w:ascii="仿宋" w:hAnsi="仿宋" w:eastAsia="仿宋" w:cs="仿宋"/>
          <w:i w:val="0"/>
          <w:strike w:val="0"/>
          <w:color w:val="000000"/>
          <w:sz w:val="30"/>
          <w:u w:val="none"/>
        </w:rPr>
        <w:t>持续推进行政审批制度改革推进市场监管行政审批电子化、便利化标准化；100%完成地方标准制定，强化事中事后监管和优化服务</w:t>
      </w:r>
      <w:r>
        <w:rPr>
          <w:rFonts w:hint="eastAsia" w:hAnsi="仿宋" w:cs="仿宋"/>
          <w:i w:val="0"/>
          <w:strike w:val="0"/>
          <w:color w:val="000000"/>
          <w:sz w:val="30"/>
          <w:u w:val="none"/>
          <w:lang w:eastAsia="zh-CN"/>
        </w:rPr>
        <w:t>。</w:t>
      </w:r>
      <w:r>
        <w:rPr>
          <w:rFonts w:hint="eastAsia" w:ascii="仿宋" w:hAnsi="仿宋" w:eastAsia="仿宋" w:cs="仿宋"/>
          <w:i w:val="0"/>
          <w:strike w:val="0"/>
          <w:color w:val="000000"/>
          <w:sz w:val="30"/>
          <w:u w:val="none"/>
        </w:rPr>
        <w:t>市场监督管理综合执法方面。强化执法监管，营造公平市场竞争环境。打造安全放心的消费环境，综合执法案件办结率达</w:t>
      </w:r>
      <w:r>
        <w:rPr>
          <w:rFonts w:hint="eastAsia" w:hAnsi="仿宋" w:cs="仿宋"/>
          <w:i w:val="0"/>
          <w:strike w:val="0"/>
          <w:color w:val="000000"/>
          <w:sz w:val="30"/>
          <w:u w:val="none"/>
          <w:lang w:val="en-US" w:eastAsia="zh-CN"/>
        </w:rPr>
        <w:t>100%</w:t>
      </w:r>
      <w:r>
        <w:rPr>
          <w:rFonts w:hint="eastAsia" w:ascii="仿宋" w:hAnsi="仿宋" w:eastAsia="仿宋" w:cs="仿宋"/>
          <w:i w:val="0"/>
          <w:strike w:val="0"/>
          <w:color w:val="000000"/>
          <w:sz w:val="30"/>
          <w:u w:val="none"/>
        </w:rPr>
        <w:t>。实施“食品安全”战略，强化药品安全监管，加强工业产品、特种设备安全监督，实现不合格产品核查处置完成率达100%；加强消费维权，体系建设，完善12315投诉举报平台建设，拓宽投诉举报渠道，12315投诉举报办结率达</w:t>
      </w:r>
      <w:r>
        <w:rPr>
          <w:rFonts w:hint="eastAsia" w:hAnsi="仿宋" w:cs="仿宋"/>
          <w:i w:val="0"/>
          <w:strike w:val="0"/>
          <w:color w:val="000000"/>
          <w:sz w:val="30"/>
          <w:u w:val="none"/>
          <w:lang w:val="en-US" w:eastAsia="zh-CN"/>
        </w:rPr>
        <w:t>100%</w:t>
      </w:r>
      <w:r>
        <w:rPr>
          <w:rFonts w:hint="eastAsia" w:ascii="仿宋" w:hAnsi="仿宋" w:eastAsia="仿宋" w:cs="仿宋"/>
          <w:i w:val="0"/>
          <w:strike w:val="0"/>
          <w:color w:val="000000"/>
          <w:sz w:val="30"/>
          <w:u w:val="none"/>
        </w:rPr>
        <w:t>，强化综合执法体系建设，食品安全违法行为案件查处率达100%，全面推行“双随机、一公开”制度，实现“双随机、一公开”监管达到市场监管领域全覆盖、常态化。完成食品抽检 600 批次，食用农产品抽检5040批次，食盐50批次，保健食品50批次</w:t>
      </w:r>
      <w:r>
        <w:rPr>
          <w:rFonts w:hint="eastAsia" w:hAnsi="仿宋" w:cs="仿宋"/>
          <w:i w:val="0"/>
          <w:strike w:val="0"/>
          <w:color w:val="000000"/>
          <w:sz w:val="30"/>
          <w:u w:val="none"/>
          <w:lang w:eastAsia="zh-CN"/>
        </w:rPr>
        <w:t>，</w:t>
      </w:r>
      <w:r>
        <w:rPr>
          <w:rFonts w:hint="eastAsia" w:ascii="仿宋" w:hAnsi="仿宋" w:eastAsia="仿宋" w:cs="仿宋"/>
          <w:i w:val="0"/>
          <w:strike w:val="0"/>
          <w:color w:val="000000"/>
          <w:sz w:val="30"/>
          <w:u w:val="none"/>
        </w:rPr>
        <w:t>药品抽检300批次、化妆品抽检70批次，开展知识产权保护宣传工作，加强知识产权创造保护运用管理</w:t>
      </w:r>
      <w:r>
        <w:rPr>
          <w:rFonts w:hint="eastAsia" w:ascii="仿宋" w:hAnsi="仿宋" w:eastAsia="仿宋" w:cs="仿宋"/>
          <w:i w:val="0"/>
          <w:strike w:val="0"/>
          <w:color w:val="000000"/>
          <w:sz w:val="30"/>
          <w:highlight w:val="none"/>
          <w:u w:val="none"/>
        </w:rPr>
        <w:t>服务能力，有效商标注册量完成率达100%，实现知识产权促进运用与转化；加强玉溪品牌建设，培育高质量品牌。</w:t>
      </w:r>
    </w:p>
    <w:p>
      <w:pPr>
        <w:keepNext w:val="0"/>
        <w:keepLines w:val="0"/>
        <w:pageBreakBefore w:val="0"/>
        <w:widowControl w:val="0"/>
        <w:kinsoku/>
        <w:wordWrap/>
        <w:overflowPunct/>
        <w:topLinePunct w:val="0"/>
        <w:autoSpaceDE/>
        <w:autoSpaceDN/>
        <w:bidi w:val="0"/>
        <w:adjustRightInd/>
        <w:snapToGrid/>
        <w:spacing w:before="0" w:after="0" w:line="590" w:lineRule="exact"/>
        <w:ind w:left="0" w:right="0" w:firstLine="630" w:firstLineChars="200"/>
        <w:jc w:val="both"/>
        <w:textAlignment w:val="auto"/>
        <w:rPr>
          <w:rFonts w:hint="default" w:hAnsi="仿宋"/>
          <w:szCs w:val="30"/>
          <w:highlight w:val="none"/>
          <w:lang w:val="en-US" w:eastAsia="zh-CN"/>
        </w:rPr>
      </w:pPr>
      <w:r>
        <w:rPr>
          <w:rFonts w:hint="eastAsia" w:hAnsi="仿宋"/>
          <w:szCs w:val="30"/>
          <w:highlight w:val="none"/>
          <w:lang w:val="en-US" w:eastAsia="zh-CN"/>
        </w:rPr>
        <w:t>但存在如下问题：</w:t>
      </w:r>
      <w:bookmarkEnd w:id="22"/>
      <w:bookmarkStart w:id="23" w:name="_Toc2777"/>
      <w:r>
        <w:rPr>
          <w:rFonts w:hint="eastAsia" w:hAnsi="仿宋"/>
          <w:szCs w:val="30"/>
          <w:highlight w:val="none"/>
          <w:lang w:val="en-US" w:eastAsia="zh-CN"/>
        </w:rPr>
        <w:t>部分重点工作任务未全面完成，</w:t>
      </w:r>
      <w:r>
        <w:rPr>
          <w:rFonts w:hint="eastAsia" w:ascii="仿宋" w:hAnsi="仿宋" w:eastAsia="仿宋" w:cs="仿宋"/>
          <w:i w:val="0"/>
          <w:strike w:val="0"/>
          <w:color w:val="000000"/>
          <w:sz w:val="30"/>
          <w:highlight w:val="none"/>
          <w:u w:val="none"/>
        </w:rPr>
        <w:t>医疗器械监督抽检</w:t>
      </w:r>
      <w:r>
        <w:rPr>
          <w:rFonts w:hint="eastAsia" w:hAnsi="仿宋" w:cs="仿宋"/>
          <w:i w:val="0"/>
          <w:strike w:val="0"/>
          <w:color w:val="000000"/>
          <w:sz w:val="30"/>
          <w:highlight w:val="none"/>
          <w:u w:val="none"/>
          <w:lang w:val="en-US" w:eastAsia="zh-CN"/>
        </w:rPr>
        <w:t>仅完成9</w:t>
      </w:r>
      <w:r>
        <w:rPr>
          <w:rFonts w:hint="eastAsia" w:ascii="仿宋" w:hAnsi="仿宋" w:eastAsia="仿宋" w:cs="仿宋"/>
          <w:i w:val="0"/>
          <w:strike w:val="0"/>
          <w:color w:val="000000"/>
          <w:sz w:val="30"/>
          <w:highlight w:val="none"/>
          <w:u w:val="none"/>
        </w:rPr>
        <w:t>批次；</w:t>
      </w:r>
      <w:r>
        <w:rPr>
          <w:rFonts w:hint="eastAsia" w:hAnsi="仿宋"/>
          <w:szCs w:val="30"/>
          <w:highlight w:val="none"/>
          <w:lang w:val="en-US" w:eastAsia="zh-CN"/>
        </w:rPr>
        <w:t>监管力度不够，</w:t>
      </w:r>
      <w:r>
        <w:rPr>
          <w:rFonts w:hint="eastAsia" w:ascii="仿宋" w:hAnsi="仿宋" w:eastAsia="仿宋" w:cs="仿宋"/>
          <w:spacing w:val="6"/>
          <w:kern w:val="30"/>
          <w:sz w:val="30"/>
          <w:szCs w:val="30"/>
          <w:highlight w:val="none"/>
          <w:lang w:val="en-US" w:eastAsia="zh-CN" w:bidi="ar-SA"/>
        </w:rPr>
        <w:t>飞行检查计划完成33次，实际完成8次</w:t>
      </w:r>
      <w:r>
        <w:rPr>
          <w:rFonts w:hint="eastAsia" w:hAnsi="仿宋" w:cs="仿宋"/>
          <w:spacing w:val="6"/>
          <w:szCs w:val="30"/>
          <w:highlight w:val="none"/>
          <w:lang w:val="en-US" w:eastAsia="zh-CN"/>
        </w:rPr>
        <w:t>；对</w:t>
      </w:r>
      <w:r>
        <w:rPr>
          <w:rFonts w:hint="eastAsia" w:ascii="仿宋" w:hAnsi="仿宋" w:eastAsia="仿宋" w:cs="仿宋"/>
          <w:spacing w:val="6"/>
          <w:kern w:val="30"/>
          <w:sz w:val="30"/>
          <w:szCs w:val="30"/>
          <w:highlight w:val="none"/>
          <w:lang w:val="en-US" w:eastAsia="zh-CN" w:bidi="ar-SA"/>
        </w:rPr>
        <w:t>承检机构成果的</w:t>
      </w:r>
      <w:r>
        <w:rPr>
          <w:rFonts w:hint="eastAsia" w:hAnsi="仿宋" w:cs="仿宋"/>
          <w:spacing w:val="6"/>
          <w:kern w:val="30"/>
          <w:sz w:val="30"/>
          <w:szCs w:val="30"/>
          <w:highlight w:val="none"/>
          <w:lang w:val="en-US" w:eastAsia="zh-CN" w:bidi="ar-SA"/>
        </w:rPr>
        <w:t>抽样复核和</w:t>
      </w:r>
      <w:r>
        <w:rPr>
          <w:rFonts w:hint="eastAsia" w:ascii="仿宋" w:hAnsi="仿宋" w:eastAsia="仿宋" w:cs="仿宋"/>
          <w:spacing w:val="6"/>
          <w:kern w:val="30"/>
          <w:sz w:val="30"/>
          <w:szCs w:val="30"/>
          <w:highlight w:val="none"/>
          <w:lang w:val="en-US" w:eastAsia="zh-CN" w:bidi="ar-SA"/>
        </w:rPr>
        <w:t>监督</w:t>
      </w:r>
      <w:r>
        <w:rPr>
          <w:rFonts w:hint="eastAsia" w:hAnsi="仿宋" w:cs="仿宋"/>
          <w:spacing w:val="6"/>
          <w:kern w:val="30"/>
          <w:sz w:val="30"/>
          <w:szCs w:val="30"/>
          <w:highlight w:val="none"/>
          <w:lang w:val="en-US" w:eastAsia="zh-CN" w:bidi="ar-SA"/>
        </w:rPr>
        <w:t>力度不够；内部管理不尽完善，资产管理、合同管理等方面有所欠缺</w:t>
      </w:r>
      <w:r>
        <w:rPr>
          <w:rFonts w:hint="eastAsia" w:hAnsi="仿宋" w:cs="仿宋"/>
          <w:spacing w:val="6"/>
          <w:szCs w:val="30"/>
          <w:highlight w:val="none"/>
          <w:lang w:val="en-US" w:eastAsia="zh-CN"/>
        </w:rPr>
        <w:t>。</w:t>
      </w:r>
    </w:p>
    <w:bookmarkEnd w:id="23"/>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54" w:firstLineChars="200"/>
        <w:jc w:val="both"/>
        <w:textAlignment w:val="auto"/>
        <w:outlineLvl w:val="0"/>
        <w:rPr>
          <w:rFonts w:hint="eastAsia" w:ascii="黑体" w:hAnsi="宋体" w:eastAsia="黑体" w:cs="宋体"/>
          <w:spacing w:val="6"/>
          <w:szCs w:val="30"/>
          <w:lang w:val="en-US" w:eastAsia="zh-CN"/>
        </w:rPr>
      </w:pPr>
      <w:bookmarkStart w:id="24" w:name="_Toc4470"/>
      <w:bookmarkStart w:id="25" w:name="_Toc20170"/>
      <w:r>
        <w:rPr>
          <w:rFonts w:hint="eastAsia" w:ascii="黑体" w:hAnsi="宋体" w:eastAsia="黑体" w:cs="宋体"/>
          <w:spacing w:val="6"/>
          <w:szCs w:val="30"/>
          <w:lang w:val="en-US" w:eastAsia="zh-CN"/>
        </w:rPr>
        <w:t>四、取得成效</w:t>
      </w:r>
      <w:bookmarkEnd w:id="24"/>
    </w:p>
    <w:p>
      <w:pPr>
        <w:ind w:firstLine="630" w:firstLineChars="200"/>
        <w:rPr>
          <w:rFonts w:hint="eastAsia" w:hAnsi="仿宋" w:cs="Times New Roman"/>
          <w:szCs w:val="30"/>
          <w:lang w:val="en-US" w:eastAsia="zh-CN"/>
        </w:rPr>
      </w:pPr>
      <w:r>
        <w:rPr>
          <w:rFonts w:hint="eastAsia" w:hAnsi="仿宋" w:cs="Times New Roman"/>
          <w:szCs w:val="30"/>
          <w:lang w:val="en-US" w:eastAsia="zh-CN"/>
        </w:rPr>
        <w:t>根据玉溪市人民政府印发《玉溪市全面推行“证照分离”改革全覆盖进一步激发市场主体发展活力实施方案》，市市场监督管理局对玉溪市承接中央层面设定的131项涉企经营许可事项和我省设定的4项涉企经营许可事项，按照直接取消审批、审批改为备案、实行告知承诺、优化审批服务4种方式分类推进审批制度改革。对于“证照分离”改革中涉及的由审批改为备案的事项，逐步纳入“多证合一”整合范畴，实现“一网通办”，开展全程电子化登记改革。持续深化“放管服”改革，稳步实施六项“一网办”便民措施，降低企业的“跑路”成本和时间成本，激发市场活力。</w:t>
      </w:r>
    </w:p>
    <w:p>
      <w:pPr>
        <w:ind w:firstLine="630" w:firstLineChars="200"/>
        <w:rPr>
          <w:rFonts w:hint="eastAsia" w:hAnsi="仿宋" w:cs="Times New Roman"/>
          <w:szCs w:val="30"/>
          <w:lang w:val="en-US" w:eastAsia="zh-CN"/>
        </w:rPr>
      </w:pPr>
      <w:r>
        <w:rPr>
          <w:rFonts w:hint="eastAsia" w:hAnsi="仿宋" w:cs="Times New Roman"/>
          <w:szCs w:val="30"/>
          <w:lang w:val="en-US" w:eastAsia="zh-CN"/>
        </w:rPr>
        <w:t>2022年市市场监督管理局共受理重要工业产品生产许可告知承诺制24件、优化审批服务11件；食品生产许可优化审批服务161件；第三类医疗器械经营许可优化审批服务93件；特种设备生产许可优化审批服务14件,检验检测机构资质认定告知承诺2件、优化审批161件。</w:t>
      </w:r>
    </w:p>
    <w:p>
      <w:pPr>
        <w:ind w:firstLine="630" w:firstLineChars="200"/>
        <w:rPr>
          <w:rFonts w:hint="eastAsia" w:hAnsi="仿宋" w:cs="Times New Roman"/>
          <w:szCs w:val="30"/>
          <w:lang w:val="en-US" w:eastAsia="zh-CN"/>
        </w:rPr>
      </w:pPr>
      <w:r>
        <w:rPr>
          <w:rFonts w:hint="eastAsia" w:hAnsi="仿宋" w:cs="Times New Roman"/>
          <w:szCs w:val="30"/>
          <w:lang w:val="en-US" w:eastAsia="zh-CN"/>
        </w:rPr>
        <w:t>持续出台“一窗通”网上办理操作指南和工作指导，联合发改、公安、人社、税务、政务服务等多部门完善相关制度和宣传手段，持续完善企业开办“一窗通”平台，建立健全企业开办部门协同机制，推进企业开办标准化规范化便利化，实现企业设立登记、公章刻制、发票申领、社保登记、住房公积金企业缴存登记、银行开户等事项“一网通办”。</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0"/>
        <w:rPr>
          <w:rFonts w:hint="eastAsia"/>
          <w:lang w:eastAsia="zh-CN"/>
        </w:rPr>
      </w:pPr>
      <w:bookmarkStart w:id="26" w:name="_Toc7709"/>
      <w:r>
        <w:rPr>
          <w:rFonts w:hint="eastAsia" w:ascii="黑体" w:hAnsi="宋体" w:eastAsia="黑体" w:cs="宋体"/>
          <w:spacing w:val="6"/>
          <w:szCs w:val="30"/>
          <w:lang w:eastAsia="zh-CN"/>
        </w:rPr>
        <w:t>五、存在问题</w:t>
      </w:r>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1"/>
        <w:rPr>
          <w:rFonts w:hint="eastAsia" w:ascii="楷体" w:hAnsi="楷体" w:eastAsia="楷体" w:cs="Times New Roman"/>
          <w:spacing w:val="6"/>
          <w:szCs w:val="30"/>
          <w:highlight w:val="none"/>
          <w:lang w:val="en-US" w:eastAsia="zh-CN"/>
        </w:rPr>
      </w:pPr>
      <w:bookmarkStart w:id="27" w:name="_Toc16992"/>
      <w:r>
        <w:rPr>
          <w:rFonts w:hint="eastAsia" w:ascii="楷体" w:hAnsi="楷体" w:eastAsia="楷体" w:cs="Times New Roman"/>
          <w:spacing w:val="6"/>
          <w:szCs w:val="30"/>
          <w:lang w:val="en-US" w:eastAsia="zh-CN"/>
        </w:rPr>
        <w:t>（一）重点工作任务</w:t>
      </w:r>
      <w:r>
        <w:rPr>
          <w:rFonts w:hint="eastAsia" w:ascii="楷体" w:hAnsi="楷体" w:eastAsia="楷体" w:cs="Times New Roman"/>
          <w:spacing w:val="6"/>
          <w:szCs w:val="30"/>
          <w:highlight w:val="none"/>
          <w:lang w:val="en-US" w:eastAsia="zh-CN"/>
        </w:rPr>
        <w:t>未全面完成，监督力度不够</w:t>
      </w:r>
      <w:bookmarkEnd w:id="27"/>
    </w:p>
    <w:p>
      <w:pPr>
        <w:pStyle w:val="2"/>
        <w:rPr>
          <w:rFonts w:hint="eastAsia" w:hAnsi="仿宋" w:cs="仿宋"/>
          <w:spacing w:val="6"/>
          <w:kern w:val="30"/>
          <w:sz w:val="30"/>
          <w:szCs w:val="30"/>
          <w:lang w:val="en-US" w:eastAsia="zh-CN" w:bidi="ar-SA"/>
        </w:rPr>
      </w:pPr>
      <w:r>
        <w:rPr>
          <w:rFonts w:hint="eastAsia" w:hAnsi="仿宋" w:cs="仿宋"/>
          <w:spacing w:val="6"/>
          <w:kern w:val="30"/>
          <w:sz w:val="30"/>
          <w:szCs w:val="30"/>
          <w:lang w:val="en-US" w:eastAsia="zh-CN" w:bidi="ar-SA"/>
        </w:rPr>
        <w:t>一是</w:t>
      </w:r>
      <w:r>
        <w:rPr>
          <w:rFonts w:hint="eastAsia" w:ascii="仿宋" w:hAnsi="仿宋" w:eastAsia="仿宋" w:cs="仿宋"/>
          <w:spacing w:val="6"/>
          <w:kern w:val="30"/>
          <w:sz w:val="30"/>
          <w:szCs w:val="30"/>
          <w:lang w:val="en-US" w:eastAsia="zh-CN" w:bidi="ar-SA"/>
        </w:rPr>
        <w:t>医疗器械抽检</w:t>
      </w:r>
      <w:r>
        <w:rPr>
          <w:rFonts w:hint="eastAsia" w:hAnsi="仿宋" w:cs="仿宋"/>
          <w:spacing w:val="6"/>
          <w:kern w:val="30"/>
          <w:sz w:val="30"/>
          <w:szCs w:val="30"/>
          <w:lang w:val="en-US" w:eastAsia="zh-CN" w:bidi="ar-SA"/>
        </w:rPr>
        <w:t>和监督任务未全面完成。</w:t>
      </w:r>
      <w:r>
        <w:rPr>
          <w:rFonts w:hint="eastAsia" w:ascii="仿宋" w:hAnsi="仿宋" w:eastAsia="仿宋" w:cs="仿宋"/>
          <w:spacing w:val="6"/>
          <w:kern w:val="30"/>
          <w:sz w:val="30"/>
          <w:szCs w:val="30"/>
          <w:lang w:val="en-US" w:eastAsia="zh-CN" w:bidi="ar-SA"/>
        </w:rPr>
        <w:t>2022年市市场监督管理局计划完成医疗器械抽检30批次，实际完成9批次，完成率仅为30%；针对医疗器械研制、生产、经营、使用等环节开展的不预先告知的监督检查，即飞行检查，计划完成任务33次，实际完成8次，完成率</w:t>
      </w:r>
      <w:r>
        <w:rPr>
          <w:rFonts w:hint="eastAsia" w:hAnsi="仿宋" w:cs="仿宋"/>
          <w:spacing w:val="6"/>
          <w:kern w:val="30"/>
          <w:sz w:val="30"/>
          <w:szCs w:val="30"/>
          <w:lang w:val="en-US" w:eastAsia="zh-CN" w:bidi="ar-SA"/>
        </w:rPr>
        <w:t>仅为</w:t>
      </w:r>
      <w:r>
        <w:rPr>
          <w:rFonts w:hint="eastAsia" w:ascii="仿宋" w:hAnsi="仿宋" w:eastAsia="仿宋" w:cs="仿宋"/>
          <w:spacing w:val="6"/>
          <w:kern w:val="30"/>
          <w:sz w:val="30"/>
          <w:szCs w:val="30"/>
          <w:lang w:val="en-US" w:eastAsia="zh-CN" w:bidi="ar-SA"/>
        </w:rPr>
        <w:t>24.24%</w:t>
      </w:r>
      <w:r>
        <w:rPr>
          <w:rFonts w:hint="eastAsia" w:hAnsi="仿宋" w:cs="仿宋"/>
          <w:spacing w:val="6"/>
          <w:kern w:val="30"/>
          <w:sz w:val="30"/>
          <w:szCs w:val="30"/>
          <w:lang w:val="en-US" w:eastAsia="zh-CN" w:bidi="ar-SA"/>
        </w:rPr>
        <w:t>。</w:t>
      </w:r>
    </w:p>
    <w:p>
      <w:pPr>
        <w:pStyle w:val="11"/>
        <w:ind w:firstLine="654" w:firstLineChars="200"/>
        <w:rPr>
          <w:rFonts w:hint="eastAsia" w:ascii="仿宋" w:hAnsi="仿宋" w:eastAsia="仿宋" w:cs="仿宋"/>
          <w:spacing w:val="6"/>
          <w:kern w:val="30"/>
          <w:sz w:val="30"/>
          <w:szCs w:val="30"/>
          <w:lang w:val="en-US" w:eastAsia="zh-CN" w:bidi="ar-SA"/>
        </w:rPr>
      </w:pPr>
      <w:r>
        <w:rPr>
          <w:rFonts w:hint="eastAsia" w:ascii="仿宋" w:hAnsi="仿宋" w:eastAsia="仿宋" w:cs="仿宋"/>
          <w:spacing w:val="6"/>
          <w:kern w:val="30"/>
          <w:sz w:val="30"/>
          <w:szCs w:val="30"/>
          <w:lang w:val="en-US" w:eastAsia="zh-CN" w:bidi="ar-SA"/>
        </w:rPr>
        <w:t>二是对承检机构成果的监督不足。实地监控发现，根据市市场监督管理局与承检机构签订的相关合同，市市场监督管理局负有对抽检结果复核和监管的责任，但市市场监督管理局对于进行食品和医疗器械抽检的承检机构，抽查、评定其检测过程、检测数据等过程痕迹资料缺失，对于承检机构出具的检测结果监督力度不足。</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30" w:leftChars="0" w:right="0" w:rightChars="0"/>
        <w:jc w:val="both"/>
        <w:textAlignment w:val="auto"/>
        <w:outlineLvl w:val="1"/>
        <w:rPr>
          <w:rFonts w:hint="default" w:ascii="楷体" w:hAnsi="楷体" w:eastAsia="楷体" w:cs="Times New Roman"/>
          <w:spacing w:val="6"/>
          <w:szCs w:val="30"/>
          <w:lang w:val="en-US" w:eastAsia="zh-CN"/>
        </w:rPr>
      </w:pPr>
      <w:bookmarkStart w:id="28" w:name="_Toc19555"/>
      <w:r>
        <w:rPr>
          <w:rFonts w:hint="eastAsia" w:ascii="楷体" w:hAnsi="楷体" w:eastAsia="楷体" w:cs="Times New Roman"/>
          <w:spacing w:val="6"/>
          <w:szCs w:val="30"/>
          <w:lang w:val="en-US" w:eastAsia="zh-CN"/>
        </w:rPr>
        <w:t>（二）</w:t>
      </w:r>
      <w:bookmarkEnd w:id="28"/>
      <w:bookmarkStart w:id="29" w:name="_Toc2469"/>
      <w:r>
        <w:rPr>
          <w:rFonts w:hint="eastAsia" w:ascii="楷体" w:hAnsi="楷体" w:eastAsia="楷体" w:cs="Times New Roman"/>
          <w:spacing w:val="6"/>
          <w:szCs w:val="30"/>
          <w:lang w:val="en-US" w:eastAsia="zh-CN"/>
        </w:rPr>
        <w:t>资产管理不规范，信息更新不及时</w:t>
      </w:r>
      <w:bookmarkEnd w:id="29"/>
    </w:p>
    <w:p>
      <w:pPr>
        <w:pStyle w:val="2"/>
        <w:rPr>
          <w:rFonts w:hint="eastAsia" w:ascii="仿宋" w:hAnsi="仿宋" w:eastAsia="仿宋" w:cs="仿宋"/>
          <w:spacing w:val="6"/>
          <w:kern w:val="30"/>
          <w:sz w:val="30"/>
          <w:szCs w:val="30"/>
          <w:lang w:val="en-US" w:eastAsia="zh-CN" w:bidi="ar-SA"/>
        </w:rPr>
      </w:pPr>
      <w:r>
        <w:rPr>
          <w:rFonts w:hint="eastAsia" w:hAnsi="仿宋" w:cs="仿宋"/>
          <w:spacing w:val="6"/>
          <w:kern w:val="30"/>
          <w:sz w:val="30"/>
          <w:szCs w:val="30"/>
          <w:lang w:val="en-US" w:eastAsia="zh-CN" w:bidi="ar-SA"/>
        </w:rPr>
        <w:t>实地评价发现，市市场监督管理局存在部分固定资产闲置，固定资产台账信息不完善，更新不及时的情况，具体为：自制木办公柜、办公桌长时间闲置未得到有效使用，涉及金额1.3万元；健身器材、移动电话（华为MATE9）长时间闲置未得到有效使用，且部分器材已无法使用但未报废，涉及金额5.13万元；涉及877项资产未完善资产规格信息；426项资产未明确存放地点，资产管理有待完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outlineLvl w:val="0"/>
        <w:rPr>
          <w:rFonts w:ascii="黑体" w:hAnsi="宋体" w:eastAsia="黑体" w:cs="宋体"/>
          <w:spacing w:val="6"/>
          <w:szCs w:val="30"/>
        </w:rPr>
      </w:pPr>
      <w:bookmarkStart w:id="30" w:name="_Toc16620"/>
      <w:bookmarkStart w:id="31" w:name="_Toc8976"/>
      <w:r>
        <w:rPr>
          <w:rFonts w:hint="eastAsia" w:ascii="黑体" w:hAnsi="宋体" w:eastAsia="黑体" w:cs="宋体"/>
          <w:spacing w:val="6"/>
          <w:szCs w:val="30"/>
          <w:lang w:eastAsia="zh-CN"/>
        </w:rPr>
        <w:t>六、</w:t>
      </w:r>
      <w:r>
        <w:rPr>
          <w:rFonts w:hint="eastAsia" w:ascii="黑体" w:hAnsi="宋体" w:eastAsia="黑体" w:cs="宋体"/>
          <w:spacing w:val="6"/>
          <w:szCs w:val="30"/>
        </w:rPr>
        <w:t>建议</w:t>
      </w:r>
      <w:bookmarkEnd w:id="30"/>
      <w:bookmarkEnd w:id="31"/>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outlineLvl w:val="1"/>
        <w:rPr>
          <w:rFonts w:hint="default" w:ascii="楷体" w:hAnsi="楷体" w:eastAsia="楷体" w:cs="Times New Roman"/>
          <w:b w:val="0"/>
          <w:bCs w:val="0"/>
          <w:color w:val="auto"/>
          <w:spacing w:val="6"/>
          <w:szCs w:val="30"/>
          <w:lang w:val="en-US" w:eastAsia="zh-CN"/>
        </w:rPr>
      </w:pPr>
      <w:bookmarkStart w:id="32" w:name="_Toc2848"/>
      <w:bookmarkStart w:id="33" w:name="_Toc7509"/>
      <w:bookmarkStart w:id="34" w:name="_Toc4797"/>
      <w:r>
        <w:rPr>
          <w:rFonts w:hint="eastAsia" w:ascii="楷体" w:hAnsi="楷体" w:eastAsia="楷体" w:cs="Times New Roman"/>
          <w:b w:val="0"/>
          <w:bCs w:val="0"/>
          <w:color w:val="auto"/>
          <w:spacing w:val="6"/>
          <w:szCs w:val="30"/>
          <w:lang w:val="en-US" w:eastAsia="zh-CN"/>
        </w:rPr>
        <w:t>（一）强化监管职责，保障重点工作任务推进</w:t>
      </w:r>
      <w:bookmarkEnd w:id="32"/>
      <w:bookmarkEnd w:id="33"/>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rPr>
          <w:rFonts w:hint="eastAsia" w:ascii="仿宋" w:hAnsi="仿宋" w:eastAsia="仿宋" w:cs="仿宋"/>
          <w:spacing w:val="6"/>
          <w:kern w:val="30"/>
          <w:sz w:val="30"/>
          <w:szCs w:val="30"/>
          <w:lang w:val="en-US" w:eastAsia="zh-CN" w:bidi="ar-SA"/>
        </w:rPr>
      </w:pPr>
      <w:r>
        <w:rPr>
          <w:rFonts w:hint="eastAsia" w:hAnsi="仿宋" w:cs="仿宋"/>
          <w:spacing w:val="6"/>
          <w:szCs w:val="30"/>
          <w:lang w:val="en-US" w:eastAsia="zh-CN"/>
        </w:rPr>
        <w:t>一是</w:t>
      </w:r>
      <w:r>
        <w:rPr>
          <w:rFonts w:hint="default" w:ascii="仿宋" w:hAnsi="仿宋" w:eastAsia="仿宋" w:cs="仿宋"/>
          <w:spacing w:val="6"/>
          <w:szCs w:val="30"/>
          <w:lang w:val="en-US" w:eastAsia="zh-CN"/>
        </w:rPr>
        <w:t>依照法律法规，</w:t>
      </w:r>
      <w:r>
        <w:rPr>
          <w:rFonts w:hint="eastAsia" w:hAnsi="仿宋" w:cs="仿宋"/>
          <w:spacing w:val="6"/>
          <w:szCs w:val="30"/>
          <w:lang w:val="en-US" w:eastAsia="zh-CN"/>
        </w:rPr>
        <w:t>市场监督管理</w:t>
      </w:r>
      <w:r>
        <w:rPr>
          <w:rFonts w:hint="default" w:ascii="仿宋" w:hAnsi="仿宋" w:eastAsia="仿宋" w:cs="仿宋"/>
          <w:spacing w:val="6"/>
          <w:szCs w:val="30"/>
          <w:lang w:val="en-US" w:eastAsia="zh-CN"/>
        </w:rPr>
        <w:t>部门是所在地方政府</w:t>
      </w:r>
      <w:r>
        <w:rPr>
          <w:rFonts w:hint="eastAsia" w:hAnsi="仿宋" w:cs="仿宋"/>
          <w:spacing w:val="6"/>
          <w:szCs w:val="30"/>
          <w:lang w:val="en-US" w:eastAsia="zh-CN"/>
        </w:rPr>
        <w:t>市场监督管</w:t>
      </w:r>
      <w:r>
        <w:rPr>
          <w:rFonts w:hint="eastAsia" w:hAnsi="仿宋" w:cs="仿宋"/>
          <w:spacing w:val="6"/>
          <w:szCs w:val="30"/>
          <w:highlight w:val="none"/>
          <w:lang w:val="en-US" w:eastAsia="zh-CN"/>
        </w:rPr>
        <w:t>理</w:t>
      </w:r>
      <w:r>
        <w:rPr>
          <w:rFonts w:hint="default" w:ascii="仿宋" w:hAnsi="仿宋" w:eastAsia="仿宋" w:cs="仿宋"/>
          <w:spacing w:val="6"/>
          <w:szCs w:val="30"/>
          <w:highlight w:val="none"/>
          <w:lang w:val="en-US" w:eastAsia="zh-CN"/>
        </w:rPr>
        <w:t>工作统一监督管理部门，</w:t>
      </w:r>
      <w:r>
        <w:rPr>
          <w:rFonts w:hint="eastAsia" w:hAnsi="仿宋" w:cs="仿宋"/>
          <w:spacing w:val="6"/>
          <w:szCs w:val="30"/>
          <w:highlight w:val="none"/>
          <w:lang w:val="en-US" w:eastAsia="zh-CN"/>
        </w:rPr>
        <w:t>应科学合理制定年度计划、工作方案，扎实推进重点工作任务，确保目标任务顺利完成。二是强化</w:t>
      </w:r>
      <w:r>
        <w:rPr>
          <w:rFonts w:hint="eastAsia" w:hAnsi="仿宋" w:cs="仿宋"/>
          <w:spacing w:val="6"/>
          <w:kern w:val="30"/>
          <w:sz w:val="30"/>
          <w:szCs w:val="30"/>
          <w:highlight w:val="none"/>
          <w:lang w:val="en-US" w:eastAsia="zh-CN" w:bidi="ar-SA"/>
        </w:rPr>
        <w:t>监督</w:t>
      </w:r>
      <w:r>
        <w:rPr>
          <w:rFonts w:hint="eastAsia" w:ascii="仿宋" w:hAnsi="仿宋" w:eastAsia="仿宋" w:cs="仿宋"/>
          <w:spacing w:val="6"/>
          <w:kern w:val="30"/>
          <w:sz w:val="30"/>
          <w:szCs w:val="30"/>
          <w:highlight w:val="none"/>
          <w:lang w:val="en-US" w:eastAsia="zh-CN" w:bidi="ar-SA"/>
        </w:rPr>
        <w:t>管理</w:t>
      </w:r>
      <w:r>
        <w:rPr>
          <w:rFonts w:hint="eastAsia" w:hAnsi="仿宋" w:cs="仿宋"/>
          <w:spacing w:val="6"/>
          <w:kern w:val="30"/>
          <w:sz w:val="30"/>
          <w:szCs w:val="30"/>
          <w:highlight w:val="none"/>
          <w:lang w:val="en-US" w:eastAsia="zh-CN" w:bidi="ar-SA"/>
        </w:rPr>
        <w:t>，</w:t>
      </w:r>
      <w:r>
        <w:rPr>
          <w:rFonts w:hint="eastAsia"/>
          <w:lang w:val="en-US" w:eastAsia="zh-CN"/>
        </w:rPr>
        <w:t>加强对承检机构的监督和部门日常监督，规范权力运行。</w:t>
      </w:r>
      <w:r>
        <w:rPr>
          <w:rFonts w:hint="eastAsia" w:ascii="仿宋" w:hAnsi="仿宋" w:eastAsia="仿宋" w:cs="仿宋"/>
          <w:spacing w:val="6"/>
          <w:kern w:val="30"/>
          <w:sz w:val="30"/>
          <w:szCs w:val="30"/>
          <w:lang w:val="en-US" w:eastAsia="zh-CN" w:bidi="ar-SA"/>
        </w:rPr>
        <w:t>加强对权力运行的制约和监督，督促</w:t>
      </w:r>
      <w:r>
        <w:rPr>
          <w:rFonts w:hint="eastAsia" w:hAnsi="仿宋" w:cs="仿宋"/>
          <w:spacing w:val="6"/>
          <w:kern w:val="30"/>
          <w:sz w:val="30"/>
          <w:szCs w:val="30"/>
          <w:lang w:val="en-US" w:eastAsia="zh-CN" w:bidi="ar-SA"/>
        </w:rPr>
        <w:t>各局机关、下属</w:t>
      </w:r>
      <w:r>
        <w:rPr>
          <w:rFonts w:hint="eastAsia" w:ascii="仿宋" w:hAnsi="仿宋" w:eastAsia="仿宋" w:cs="仿宋"/>
          <w:spacing w:val="6"/>
          <w:kern w:val="30"/>
          <w:sz w:val="30"/>
          <w:szCs w:val="30"/>
          <w:lang w:val="en-US" w:eastAsia="zh-CN" w:bidi="ar-SA"/>
        </w:rPr>
        <w:t>单位进一步细化完善权力运行的风险防控机制。加强重点工作、关键环节的监督，</w:t>
      </w:r>
      <w:r>
        <w:rPr>
          <w:rFonts w:hint="eastAsia" w:hAnsi="仿宋" w:cs="仿宋"/>
          <w:spacing w:val="6"/>
          <w:kern w:val="30"/>
          <w:sz w:val="30"/>
          <w:szCs w:val="30"/>
          <w:lang w:val="en-US" w:eastAsia="zh-CN" w:bidi="ar-SA"/>
        </w:rPr>
        <w:t>关注群众切实关心的食品安全问题，</w:t>
      </w:r>
      <w:r>
        <w:rPr>
          <w:rFonts w:hint="eastAsia" w:ascii="仿宋" w:hAnsi="仿宋" w:eastAsia="仿宋" w:cs="仿宋"/>
          <w:spacing w:val="6"/>
          <w:kern w:val="30"/>
          <w:sz w:val="30"/>
          <w:szCs w:val="30"/>
          <w:lang w:val="en-US" w:eastAsia="zh-CN" w:bidi="ar-SA"/>
        </w:rPr>
        <w:t>加大食品监督管理，强化市场监管</w:t>
      </w:r>
      <w:r>
        <w:rPr>
          <w:rFonts w:hint="default" w:ascii="仿宋" w:hAnsi="仿宋" w:eastAsia="仿宋" w:cs="仿宋"/>
          <w:spacing w:val="6"/>
          <w:kern w:val="30"/>
          <w:sz w:val="30"/>
          <w:szCs w:val="30"/>
          <w:lang w:val="en-US" w:eastAsia="zh-CN" w:bidi="ar-SA"/>
        </w:rPr>
        <w:t>责任</w:t>
      </w:r>
      <w:r>
        <w:rPr>
          <w:rFonts w:hint="eastAsia" w:ascii="仿宋" w:hAnsi="仿宋" w:eastAsia="仿宋" w:cs="仿宋"/>
          <w:spacing w:val="6"/>
          <w:kern w:val="30"/>
          <w:sz w:val="30"/>
          <w:szCs w:val="30"/>
          <w:lang w:val="en-US" w:eastAsia="zh-CN" w:bidi="ar-SA"/>
        </w:rPr>
        <w:t>，促进社会生产事业发展。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outlineLvl w:val="1"/>
        <w:rPr>
          <w:rFonts w:hint="default" w:ascii="楷体" w:hAnsi="楷体" w:eastAsia="楷体" w:cs="Times New Roman"/>
          <w:b w:val="0"/>
          <w:bCs w:val="0"/>
          <w:color w:val="auto"/>
          <w:spacing w:val="6"/>
          <w:szCs w:val="30"/>
          <w:lang w:val="en-US" w:eastAsia="zh-CN"/>
        </w:rPr>
      </w:pPr>
      <w:bookmarkStart w:id="35" w:name="_Toc25820"/>
      <w:r>
        <w:rPr>
          <w:rFonts w:hint="eastAsia" w:ascii="楷体" w:hAnsi="楷体" w:eastAsia="楷体" w:cs="Times New Roman"/>
          <w:b w:val="0"/>
          <w:bCs w:val="0"/>
          <w:color w:val="auto"/>
          <w:spacing w:val="6"/>
          <w:szCs w:val="30"/>
          <w:lang w:val="en-US" w:eastAsia="zh-CN"/>
        </w:rPr>
        <w:t>（二）</w:t>
      </w:r>
      <w:bookmarkEnd w:id="35"/>
      <w:bookmarkStart w:id="36" w:name="_Toc21834"/>
      <w:r>
        <w:rPr>
          <w:rFonts w:hint="eastAsia" w:ascii="楷体" w:hAnsi="楷体" w:eastAsia="楷体" w:cs="Times New Roman"/>
          <w:b w:val="0"/>
          <w:bCs w:val="0"/>
          <w:color w:val="auto"/>
          <w:spacing w:val="6"/>
          <w:szCs w:val="30"/>
          <w:lang w:val="en-US" w:eastAsia="zh-CN"/>
        </w:rPr>
        <w:t>优化资产管理，动态更新信息</w:t>
      </w:r>
      <w:bookmarkEnd w:id="36"/>
    </w:p>
    <w:p>
      <w:pPr>
        <w:ind w:firstLine="654" w:firstLineChars="200"/>
        <w:rPr>
          <w:rFonts w:hint="default" w:ascii="仿宋" w:hAnsi="仿宋" w:eastAsia="仿宋" w:cs="仿宋"/>
          <w:spacing w:val="6"/>
          <w:szCs w:val="30"/>
          <w:lang w:val="en-US" w:eastAsia="zh-CN"/>
        </w:rPr>
      </w:pPr>
      <w:r>
        <w:rPr>
          <w:rFonts w:hint="eastAsia" w:hAnsi="仿宋" w:cs="仿宋"/>
          <w:spacing w:val="6"/>
          <w:kern w:val="30"/>
          <w:sz w:val="30"/>
          <w:szCs w:val="30"/>
          <w:highlight w:val="none"/>
          <w:lang w:val="en-US" w:eastAsia="zh-CN" w:bidi="ar-SA"/>
        </w:rPr>
        <w:t>建议</w:t>
      </w:r>
      <w:r>
        <w:rPr>
          <w:rFonts w:hint="eastAsia" w:hAnsi="仿宋" w:cs="Times New Roman"/>
          <w:szCs w:val="30"/>
          <w:highlight w:val="none"/>
          <w:lang w:val="en-US" w:eastAsia="zh-CN"/>
        </w:rPr>
        <w:t>开展资产清查，查清固定资产情况，提高资产利用率；完善资产信息台账和信息系统，动态更新信息；</w:t>
      </w:r>
      <w:r>
        <w:rPr>
          <w:rFonts w:hint="eastAsia" w:hAnsi="仿宋" w:cs="仿宋"/>
          <w:spacing w:val="6"/>
          <w:szCs w:val="30"/>
          <w:highlight w:val="none"/>
          <w:lang w:val="en-US" w:eastAsia="zh-CN"/>
        </w:rPr>
        <w:t>加快</w:t>
      </w:r>
      <w:r>
        <w:rPr>
          <w:rFonts w:hint="default" w:ascii="仿宋" w:hAnsi="仿宋" w:eastAsia="仿宋" w:cs="仿宋"/>
          <w:spacing w:val="6"/>
          <w:szCs w:val="30"/>
          <w:highlight w:val="none"/>
          <w:lang w:val="en-US" w:eastAsia="zh-CN"/>
        </w:rPr>
        <w:t>构建内容完善、边界清晰的责任体系</w:t>
      </w:r>
      <w:r>
        <w:rPr>
          <w:rFonts w:hint="eastAsia" w:hAnsi="仿宋" w:cs="仿宋"/>
          <w:spacing w:val="6"/>
          <w:szCs w:val="30"/>
          <w:highlight w:val="none"/>
          <w:lang w:val="en-US" w:eastAsia="zh-CN"/>
        </w:rPr>
        <w:t>，</w:t>
      </w:r>
      <w:r>
        <w:rPr>
          <w:rFonts w:hint="default" w:ascii="仿宋" w:hAnsi="仿宋" w:eastAsia="仿宋" w:cs="仿宋"/>
          <w:spacing w:val="6"/>
          <w:szCs w:val="30"/>
          <w:highlight w:val="none"/>
          <w:lang w:val="en-US" w:eastAsia="zh-CN"/>
        </w:rPr>
        <w:t>以清单方式进行全面规范固化，逐条列出，有效避免责任多头、责任真空、责任模糊等现象，确保履</w:t>
      </w:r>
      <w:r>
        <w:rPr>
          <w:rFonts w:hint="eastAsia" w:hAnsi="仿宋" w:cs="仿宋"/>
          <w:spacing w:val="6"/>
          <w:szCs w:val="30"/>
          <w:highlight w:val="none"/>
          <w:lang w:val="en-US" w:eastAsia="zh-CN"/>
        </w:rPr>
        <w:t>责</w:t>
      </w:r>
      <w:r>
        <w:rPr>
          <w:rFonts w:hint="default" w:ascii="仿宋" w:hAnsi="仿宋" w:eastAsia="仿宋" w:cs="仿宋"/>
          <w:spacing w:val="6"/>
          <w:szCs w:val="30"/>
          <w:highlight w:val="none"/>
          <w:lang w:val="en-US" w:eastAsia="zh-CN"/>
        </w:rPr>
        <w:t>有依据、监</w:t>
      </w:r>
      <w:r>
        <w:rPr>
          <w:rFonts w:hint="default" w:ascii="仿宋" w:hAnsi="仿宋" w:eastAsia="仿宋" w:cs="仿宋"/>
          <w:spacing w:val="6"/>
          <w:szCs w:val="30"/>
          <w:lang w:val="en-US" w:eastAsia="zh-CN"/>
        </w:rPr>
        <w:t>督有抓手、追责有方向，使</w:t>
      </w:r>
      <w:r>
        <w:rPr>
          <w:rFonts w:hint="eastAsia" w:hAnsi="仿宋" w:cs="仿宋"/>
          <w:spacing w:val="6"/>
          <w:szCs w:val="30"/>
          <w:lang w:val="en-US" w:eastAsia="zh-CN"/>
        </w:rPr>
        <w:t>相关</w:t>
      </w:r>
      <w:r>
        <w:rPr>
          <w:rFonts w:hint="default" w:ascii="仿宋" w:hAnsi="仿宋" w:eastAsia="仿宋" w:cs="仿宋"/>
          <w:spacing w:val="6"/>
          <w:szCs w:val="30"/>
          <w:lang w:val="en-US" w:eastAsia="zh-CN"/>
        </w:rPr>
        <w:t>责任能够更好地落地落实。</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54" w:firstLineChars="200"/>
        <w:jc w:val="both"/>
        <w:textAlignment w:val="auto"/>
        <w:outlineLvl w:val="0"/>
        <w:rPr>
          <w:rFonts w:ascii="黑体" w:hAnsi="宋体" w:eastAsia="黑体" w:cs="宋体"/>
          <w:spacing w:val="6"/>
          <w:szCs w:val="30"/>
        </w:rPr>
      </w:pPr>
      <w:bookmarkStart w:id="37" w:name="_Toc22282"/>
      <w:r>
        <w:rPr>
          <w:rFonts w:hint="eastAsia" w:ascii="黑体" w:hAnsi="宋体" w:eastAsia="黑体" w:cs="宋体"/>
          <w:spacing w:val="6"/>
          <w:szCs w:val="30"/>
          <w:lang w:eastAsia="zh-CN"/>
        </w:rPr>
        <w:t>七、</w:t>
      </w:r>
      <w:r>
        <w:rPr>
          <w:rFonts w:hint="eastAsia" w:ascii="黑体" w:hAnsi="宋体" w:eastAsia="黑体" w:cs="宋体"/>
          <w:spacing w:val="6"/>
          <w:szCs w:val="30"/>
        </w:rPr>
        <w:t>其它需说明的情况</w:t>
      </w:r>
      <w:bookmarkEnd w:id="34"/>
      <w:bookmarkEnd w:id="37"/>
    </w:p>
    <w:p>
      <w:pPr>
        <w:ind w:firstLine="630" w:firstLineChars="200"/>
        <w:rPr>
          <w:rFonts w:hint="eastAsia" w:eastAsia="仿宋"/>
          <w:lang w:val="en-US" w:eastAsia="zh-CN"/>
        </w:rPr>
      </w:pPr>
      <w:r>
        <w:rPr>
          <w:rFonts w:hint="eastAsia"/>
          <w:lang w:val="en-US" w:eastAsia="zh-CN"/>
        </w:rPr>
        <w:t>无。</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54" w:firstLineChars="200"/>
        <w:jc w:val="both"/>
        <w:textAlignment w:val="auto"/>
        <w:outlineLvl w:val="9"/>
        <w:rPr>
          <w:rFonts w:hint="eastAsia" w:hAnsi="仿宋"/>
          <w:spacing w:val="6"/>
          <w:szCs w:val="30"/>
        </w:rPr>
      </w:pPr>
      <w:bookmarkStart w:id="38" w:name="_Hlk525314575"/>
    </w:p>
    <w:p>
      <w:pPr>
        <w:keepNext w:val="0"/>
        <w:keepLines w:val="0"/>
        <w:pageBreakBefore w:val="0"/>
        <w:widowControl w:val="0"/>
        <w:kinsoku/>
        <w:wordWrap/>
        <w:overflowPunct/>
        <w:topLinePunct w:val="0"/>
        <w:autoSpaceDE/>
        <w:autoSpaceDN/>
        <w:bidi w:val="0"/>
        <w:adjustRightInd/>
        <w:snapToGrid/>
        <w:spacing w:line="590" w:lineRule="exact"/>
        <w:ind w:right="0" w:rightChars="0" w:firstLine="654" w:firstLineChars="200"/>
        <w:jc w:val="both"/>
        <w:textAlignment w:val="auto"/>
        <w:outlineLvl w:val="9"/>
        <w:rPr>
          <w:rFonts w:hint="eastAsia" w:hAnsi="仿宋"/>
          <w:spacing w:val="6"/>
          <w:szCs w:val="30"/>
        </w:rPr>
      </w:pPr>
    </w:p>
    <w:bookmarkEnd w:id="38"/>
    <w:p>
      <w:pPr>
        <w:keepNext w:val="0"/>
        <w:keepLines w:val="0"/>
        <w:pageBreakBefore w:val="0"/>
        <w:widowControl w:val="0"/>
        <w:kinsoku/>
        <w:wordWrap/>
        <w:overflowPunct/>
        <w:topLinePunct w:val="0"/>
        <w:autoSpaceDE/>
        <w:autoSpaceDN/>
        <w:bidi w:val="0"/>
        <w:adjustRightInd/>
        <w:snapToGrid/>
        <w:spacing w:line="590" w:lineRule="exact"/>
        <w:ind w:right="0" w:rightChars="0" w:firstLine="1635" w:firstLineChars="500"/>
        <w:jc w:val="both"/>
        <w:textAlignment w:val="auto"/>
        <w:outlineLvl w:val="9"/>
        <w:rPr>
          <w:rFonts w:hint="eastAsia" w:hAnsi="仿宋"/>
          <w:spacing w:val="6"/>
          <w:szCs w:val="30"/>
        </w:rPr>
      </w:pPr>
    </w:p>
    <w:sectPr>
      <w:footerReference r:id="rId5" w:type="default"/>
      <w:footerReference r:id="rId6" w:type="even"/>
      <w:pgSz w:w="11906" w:h="16838"/>
      <w:pgMar w:top="1984" w:right="1474" w:bottom="1871" w:left="1474" w:header="851" w:footer="1474" w:gutter="0"/>
      <w:pgNumType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7"/>
        <w:snapToGrid w:val="0"/>
        <w:rPr>
          <w:rFonts w:hint="default" w:eastAsia="仿宋"/>
          <w:lang w:val="en-US" w:eastAsia="zh-CN"/>
        </w:rPr>
      </w:pPr>
      <w:r>
        <w:rPr>
          <w:rStyle w:val="27"/>
        </w:rPr>
        <w:footnoteRef/>
      </w:r>
      <w:r>
        <w:t xml:space="preserve"> </w:t>
      </w:r>
      <w:r>
        <w:rPr>
          <w:rFonts w:hint="eastAsia"/>
          <w:lang w:val="en-US" w:eastAsia="zh-CN"/>
        </w:rPr>
        <w:t>玉溪</w:t>
      </w:r>
      <w:r>
        <w:rPr>
          <w:rFonts w:hint="eastAsia"/>
          <w:color w:val="auto"/>
          <w:highlight w:val="none"/>
          <w:lang w:val="en-US" w:eastAsia="zh-CN"/>
        </w:rPr>
        <w:t>市市场监督管理局</w:t>
      </w:r>
      <w:r>
        <w:rPr>
          <w:color w:val="auto"/>
          <w:highlight w:val="none"/>
        </w:rPr>
        <w:t>202</w:t>
      </w:r>
      <w:r>
        <w:rPr>
          <w:rFonts w:hint="eastAsia"/>
          <w:color w:val="auto"/>
          <w:highlight w:val="none"/>
          <w:lang w:val="en-US" w:eastAsia="zh-CN"/>
        </w:rPr>
        <w:t>2</w:t>
      </w:r>
      <w:r>
        <w:rPr>
          <w:rFonts w:hint="eastAsia"/>
          <w:color w:val="auto"/>
          <w:highlight w:val="none"/>
        </w:rPr>
        <w:t>年决</w:t>
      </w:r>
      <w:r>
        <w:rPr>
          <w:rFonts w:hint="eastAsia"/>
        </w:rPr>
        <w:t>算报表</w:t>
      </w:r>
      <w:r>
        <w:rPr>
          <w:rFonts w:hint="eastAsia"/>
          <w:lang w:val="en-US" w:eastAsia="zh-CN"/>
        </w:rPr>
        <w:t>实际支出</w:t>
      </w:r>
      <w:r>
        <w:rPr>
          <w:rFonts w:hint="eastAsia"/>
        </w:rPr>
        <w:t>8246</w:t>
      </w:r>
      <w:r>
        <w:rPr>
          <w:rFonts w:hint="eastAsia"/>
          <w:lang w:val="en-US" w:eastAsia="zh-CN"/>
        </w:rPr>
        <w:t>,</w:t>
      </w:r>
      <w:r>
        <w:rPr>
          <w:rFonts w:hint="eastAsia"/>
        </w:rPr>
        <w:t>1</w:t>
      </w:r>
      <w:r>
        <w:rPr>
          <w:rFonts w:hint="eastAsia"/>
          <w:lang w:val="en-US" w:eastAsia="zh-CN"/>
        </w:rPr>
        <w:t>4万元，其中包含</w:t>
      </w:r>
      <w:r>
        <w:rPr>
          <w:rFonts w:hint="eastAsia"/>
        </w:rPr>
        <w:t>玉溪市文学艺术界联合会拨入经费</w:t>
      </w:r>
      <w:r>
        <w:rPr>
          <w:rFonts w:hint="eastAsia"/>
          <w:lang w:val="en-US" w:eastAsia="zh-CN"/>
        </w:rPr>
        <w:t>5万元和高新区财政局拨付玉溪市市场监管局高新区分局经费141.74万元，两笔资金未纳入预算执行率计算。</w:t>
      </w:r>
    </w:p>
  </w:footnote>
  <w:footnote w:id="1">
    <w:p>
      <w:pPr>
        <w:pStyle w:val="17"/>
        <w:snapToGrid w:val="0"/>
        <w:rPr>
          <w:rFonts w:hint="default" w:eastAsia="仿宋"/>
          <w:lang w:val="en-US" w:eastAsia="zh-CN"/>
        </w:rPr>
      </w:pPr>
      <w:r>
        <w:rPr>
          <w:rStyle w:val="27"/>
        </w:rPr>
        <w:footnoteRef/>
      </w:r>
      <w:r>
        <w:t xml:space="preserve"> </w:t>
      </w:r>
      <w:r>
        <w:rPr>
          <w:rFonts w:hint="eastAsia"/>
          <w:lang w:val="en-US" w:eastAsia="zh-CN"/>
        </w:rPr>
        <w:t>玉溪</w:t>
      </w:r>
      <w:r>
        <w:rPr>
          <w:rFonts w:hint="eastAsia"/>
          <w:color w:val="auto"/>
          <w:highlight w:val="none"/>
          <w:lang w:val="en-US" w:eastAsia="zh-CN"/>
        </w:rPr>
        <w:t>市市场监督管理局</w:t>
      </w:r>
      <w:r>
        <w:rPr>
          <w:color w:val="auto"/>
          <w:highlight w:val="none"/>
        </w:rPr>
        <w:t>202</w:t>
      </w:r>
      <w:r>
        <w:rPr>
          <w:rFonts w:hint="eastAsia"/>
          <w:color w:val="auto"/>
          <w:highlight w:val="none"/>
          <w:lang w:val="en-US" w:eastAsia="zh-CN"/>
        </w:rPr>
        <w:t>2</w:t>
      </w:r>
      <w:r>
        <w:rPr>
          <w:rFonts w:hint="eastAsia"/>
          <w:color w:val="auto"/>
          <w:highlight w:val="none"/>
        </w:rPr>
        <w:t>年决</w:t>
      </w:r>
      <w:r>
        <w:rPr>
          <w:rFonts w:hint="eastAsia"/>
        </w:rPr>
        <w:t>算报表</w:t>
      </w:r>
      <w:r>
        <w:rPr>
          <w:rFonts w:hint="eastAsia"/>
          <w:lang w:val="en-US" w:eastAsia="zh-CN"/>
        </w:rPr>
        <w:t>实际支出</w:t>
      </w:r>
      <w:r>
        <w:rPr>
          <w:rFonts w:hint="eastAsia"/>
        </w:rPr>
        <w:t>8246</w:t>
      </w:r>
      <w:r>
        <w:rPr>
          <w:rFonts w:hint="eastAsia"/>
          <w:lang w:val="en-US" w:eastAsia="zh-CN"/>
        </w:rPr>
        <w:t>,</w:t>
      </w:r>
      <w:r>
        <w:rPr>
          <w:rFonts w:hint="eastAsia"/>
        </w:rPr>
        <w:t>1</w:t>
      </w:r>
      <w:r>
        <w:rPr>
          <w:rFonts w:hint="eastAsia"/>
          <w:lang w:val="en-US" w:eastAsia="zh-CN"/>
        </w:rPr>
        <w:t>4万元，其中包含</w:t>
      </w:r>
      <w:r>
        <w:rPr>
          <w:rFonts w:hint="eastAsia"/>
        </w:rPr>
        <w:t>玉溪市文学艺术界联合会拨入经费</w:t>
      </w:r>
      <w:r>
        <w:rPr>
          <w:rFonts w:hint="eastAsia"/>
          <w:lang w:val="en-US" w:eastAsia="zh-CN"/>
        </w:rPr>
        <w:t>5万元和高新区财政局拨付玉溪市市场监管局高新区分局经费141.74万元，两笔资金未纳入预算执行率计算。</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936" w:hanging="336"/>
      </w:pPr>
    </w:lvl>
    <w:lvl w:ilvl="1" w:tentative="0">
      <w:start w:val="1"/>
      <w:numFmt w:val="lowerLetter"/>
      <w:lvlText w:val="%2."/>
      <w:lvlJc w:val="left"/>
      <w:pPr>
        <w:ind w:left="1356" w:hanging="336"/>
      </w:pPr>
    </w:lvl>
    <w:lvl w:ilvl="2" w:tentative="0">
      <w:start w:val="1"/>
      <w:numFmt w:val="lowerRoman"/>
      <w:lvlText w:val="%3."/>
      <w:lvlJc w:val="left"/>
      <w:pPr>
        <w:ind w:left="1776" w:hanging="336"/>
      </w:pPr>
    </w:lvl>
    <w:lvl w:ilvl="3" w:tentative="0">
      <w:start w:val="1"/>
      <w:numFmt w:val="decimal"/>
      <w:lvlText w:val="%4."/>
      <w:lvlJc w:val="left"/>
      <w:pPr>
        <w:ind w:left="2196" w:hanging="336"/>
      </w:pPr>
    </w:lvl>
    <w:lvl w:ilvl="4" w:tentative="0">
      <w:start w:val="1"/>
      <w:numFmt w:val="lowerLetter"/>
      <w:lvlText w:val="%5."/>
      <w:lvlJc w:val="left"/>
      <w:pPr>
        <w:ind w:left="2616" w:hanging="336"/>
      </w:pPr>
    </w:lvl>
    <w:lvl w:ilvl="5" w:tentative="0">
      <w:start w:val="1"/>
      <w:numFmt w:val="lowerRoman"/>
      <w:lvlText w:val="%6."/>
      <w:lvlJc w:val="left"/>
      <w:pPr>
        <w:ind w:left="3036" w:hanging="336"/>
      </w:pPr>
    </w:lvl>
    <w:lvl w:ilvl="6" w:tentative="0">
      <w:start w:val="1"/>
      <w:numFmt w:val="decimal"/>
      <w:lvlText w:val="%7."/>
      <w:lvlJc w:val="left"/>
      <w:pPr>
        <w:ind w:left="3456" w:hanging="336"/>
      </w:pPr>
    </w:lvl>
    <w:lvl w:ilvl="7" w:tentative="0">
      <w:start w:val="1"/>
      <w:numFmt w:val="lowerLetter"/>
      <w:lvlText w:val="%8."/>
      <w:lvlJc w:val="left"/>
      <w:pPr>
        <w:ind w:left="3876" w:hanging="336"/>
      </w:pPr>
    </w:lvl>
  </w:abstractNum>
  <w:abstractNum w:abstractNumId="1">
    <w:nsid w:val="42844975"/>
    <w:multiLevelType w:val="singleLevel"/>
    <w:tmpl w:val="4284497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ZhZjc3OTcwYzc0MDQ3YTRkNjEwZmZjMWExNWM3ZDg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255E"/>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193C"/>
    <w:rsid w:val="00182613"/>
    <w:rsid w:val="001836BB"/>
    <w:rsid w:val="00183D89"/>
    <w:rsid w:val="001844AE"/>
    <w:rsid w:val="00184577"/>
    <w:rsid w:val="0018788E"/>
    <w:rsid w:val="001905A5"/>
    <w:rsid w:val="00195621"/>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17B6E"/>
    <w:rsid w:val="002229E2"/>
    <w:rsid w:val="0022365E"/>
    <w:rsid w:val="00224872"/>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0FFD"/>
    <w:rsid w:val="00282CC8"/>
    <w:rsid w:val="00283F38"/>
    <w:rsid w:val="00285265"/>
    <w:rsid w:val="00290595"/>
    <w:rsid w:val="002917E5"/>
    <w:rsid w:val="0029356B"/>
    <w:rsid w:val="002A020A"/>
    <w:rsid w:val="002A1DF7"/>
    <w:rsid w:val="002A5AD2"/>
    <w:rsid w:val="002A6EAA"/>
    <w:rsid w:val="002B3F00"/>
    <w:rsid w:val="002B7B5E"/>
    <w:rsid w:val="002C25E7"/>
    <w:rsid w:val="002C3A45"/>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4994"/>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2E29"/>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273DB"/>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5F61C6"/>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2C5F"/>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83D"/>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54A7B"/>
    <w:rsid w:val="00866AB0"/>
    <w:rsid w:val="00867F1E"/>
    <w:rsid w:val="00870D8D"/>
    <w:rsid w:val="008735D5"/>
    <w:rsid w:val="00873D83"/>
    <w:rsid w:val="008767B4"/>
    <w:rsid w:val="00877854"/>
    <w:rsid w:val="00882E11"/>
    <w:rsid w:val="00884635"/>
    <w:rsid w:val="00885EF1"/>
    <w:rsid w:val="00890F31"/>
    <w:rsid w:val="00894CB7"/>
    <w:rsid w:val="00896267"/>
    <w:rsid w:val="00896DBE"/>
    <w:rsid w:val="008A096F"/>
    <w:rsid w:val="008A3471"/>
    <w:rsid w:val="008A5EF0"/>
    <w:rsid w:val="008B035B"/>
    <w:rsid w:val="008B4245"/>
    <w:rsid w:val="008B4790"/>
    <w:rsid w:val="008C134F"/>
    <w:rsid w:val="008C1413"/>
    <w:rsid w:val="008C33C4"/>
    <w:rsid w:val="008C3699"/>
    <w:rsid w:val="008D007F"/>
    <w:rsid w:val="008D5ECA"/>
    <w:rsid w:val="008D69D8"/>
    <w:rsid w:val="008D6C00"/>
    <w:rsid w:val="008D7D2E"/>
    <w:rsid w:val="008E077D"/>
    <w:rsid w:val="008E0FBB"/>
    <w:rsid w:val="008E70EF"/>
    <w:rsid w:val="008F0F4B"/>
    <w:rsid w:val="008F0F5E"/>
    <w:rsid w:val="008F2F92"/>
    <w:rsid w:val="008F689B"/>
    <w:rsid w:val="00901D0E"/>
    <w:rsid w:val="009034E6"/>
    <w:rsid w:val="00903C2E"/>
    <w:rsid w:val="0090678C"/>
    <w:rsid w:val="00910184"/>
    <w:rsid w:val="00910CE3"/>
    <w:rsid w:val="00915956"/>
    <w:rsid w:val="009166C7"/>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2708"/>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B7C"/>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3751"/>
    <w:rsid w:val="00B54DC6"/>
    <w:rsid w:val="00B55B57"/>
    <w:rsid w:val="00B567D7"/>
    <w:rsid w:val="00B57693"/>
    <w:rsid w:val="00B61B4E"/>
    <w:rsid w:val="00B70DE9"/>
    <w:rsid w:val="00B74E74"/>
    <w:rsid w:val="00B828F5"/>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E4487"/>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3EF9"/>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24D2"/>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DF0D8A"/>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4395F"/>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B7684"/>
    <w:rsid w:val="00EC031D"/>
    <w:rsid w:val="00EC2985"/>
    <w:rsid w:val="00EC33B7"/>
    <w:rsid w:val="00EC366B"/>
    <w:rsid w:val="00EC460D"/>
    <w:rsid w:val="00EC5738"/>
    <w:rsid w:val="00EC5BA4"/>
    <w:rsid w:val="00ED063F"/>
    <w:rsid w:val="00ED7CDD"/>
    <w:rsid w:val="00ED7FF2"/>
    <w:rsid w:val="00EE07DA"/>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249"/>
    <w:rsid w:val="00F56C74"/>
    <w:rsid w:val="00F57207"/>
    <w:rsid w:val="00F5747F"/>
    <w:rsid w:val="00F606DB"/>
    <w:rsid w:val="00F63A66"/>
    <w:rsid w:val="00F644D9"/>
    <w:rsid w:val="00F656A9"/>
    <w:rsid w:val="00F66DF8"/>
    <w:rsid w:val="00F67ECF"/>
    <w:rsid w:val="00F70120"/>
    <w:rsid w:val="00F72138"/>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6F3EAB"/>
    <w:rsid w:val="020217D5"/>
    <w:rsid w:val="02A70BEF"/>
    <w:rsid w:val="02F96864"/>
    <w:rsid w:val="02FD4B65"/>
    <w:rsid w:val="03105737"/>
    <w:rsid w:val="033A0274"/>
    <w:rsid w:val="03411FB9"/>
    <w:rsid w:val="037E51A0"/>
    <w:rsid w:val="043F3DC8"/>
    <w:rsid w:val="05081CFD"/>
    <w:rsid w:val="05216546"/>
    <w:rsid w:val="053C4959"/>
    <w:rsid w:val="06A6656A"/>
    <w:rsid w:val="06BD229F"/>
    <w:rsid w:val="06FF299A"/>
    <w:rsid w:val="072A3D63"/>
    <w:rsid w:val="07372051"/>
    <w:rsid w:val="07BE316A"/>
    <w:rsid w:val="08DE1B0D"/>
    <w:rsid w:val="0947702E"/>
    <w:rsid w:val="0A9A6B7F"/>
    <w:rsid w:val="0B9711AD"/>
    <w:rsid w:val="0C5A6B62"/>
    <w:rsid w:val="0C9475FE"/>
    <w:rsid w:val="0CDA128A"/>
    <w:rsid w:val="0D054AC8"/>
    <w:rsid w:val="0D997E0E"/>
    <w:rsid w:val="0EA33EF7"/>
    <w:rsid w:val="0F8676D2"/>
    <w:rsid w:val="0F927B16"/>
    <w:rsid w:val="0FC92877"/>
    <w:rsid w:val="0FFE10DB"/>
    <w:rsid w:val="104A3490"/>
    <w:rsid w:val="10C475D4"/>
    <w:rsid w:val="11511C95"/>
    <w:rsid w:val="11515ABE"/>
    <w:rsid w:val="11A402E3"/>
    <w:rsid w:val="11D706B9"/>
    <w:rsid w:val="126F6B43"/>
    <w:rsid w:val="127F665A"/>
    <w:rsid w:val="1295074F"/>
    <w:rsid w:val="130A58E5"/>
    <w:rsid w:val="132F1E2E"/>
    <w:rsid w:val="13A46AE2"/>
    <w:rsid w:val="140726CD"/>
    <w:rsid w:val="14202249"/>
    <w:rsid w:val="14E82BDD"/>
    <w:rsid w:val="15787ABD"/>
    <w:rsid w:val="15987882"/>
    <w:rsid w:val="15AC7766"/>
    <w:rsid w:val="15B763CD"/>
    <w:rsid w:val="1958291E"/>
    <w:rsid w:val="19681730"/>
    <w:rsid w:val="19952CD6"/>
    <w:rsid w:val="1AB31597"/>
    <w:rsid w:val="1AD06D5C"/>
    <w:rsid w:val="1B134DAC"/>
    <w:rsid w:val="1BB20200"/>
    <w:rsid w:val="1BEA3A02"/>
    <w:rsid w:val="1C165CA8"/>
    <w:rsid w:val="1C4B2EE9"/>
    <w:rsid w:val="1CF07340"/>
    <w:rsid w:val="1D682CBB"/>
    <w:rsid w:val="1D864D41"/>
    <w:rsid w:val="1E6623A3"/>
    <w:rsid w:val="1F061433"/>
    <w:rsid w:val="1F737547"/>
    <w:rsid w:val="209B2710"/>
    <w:rsid w:val="20F546AE"/>
    <w:rsid w:val="217F21D3"/>
    <w:rsid w:val="21D73DBD"/>
    <w:rsid w:val="226718CE"/>
    <w:rsid w:val="239F4DAE"/>
    <w:rsid w:val="247937FB"/>
    <w:rsid w:val="24D26ABE"/>
    <w:rsid w:val="250E3B50"/>
    <w:rsid w:val="25302C04"/>
    <w:rsid w:val="25E64E09"/>
    <w:rsid w:val="275B7350"/>
    <w:rsid w:val="27B5694E"/>
    <w:rsid w:val="27BA21B7"/>
    <w:rsid w:val="27E2255B"/>
    <w:rsid w:val="29474223"/>
    <w:rsid w:val="2A614B6C"/>
    <w:rsid w:val="2ADC207F"/>
    <w:rsid w:val="2B2C275F"/>
    <w:rsid w:val="2C256472"/>
    <w:rsid w:val="2C356AE4"/>
    <w:rsid w:val="2C4E7372"/>
    <w:rsid w:val="2C5C1A8E"/>
    <w:rsid w:val="2D0363AE"/>
    <w:rsid w:val="2D7C2073"/>
    <w:rsid w:val="2EAD31D4"/>
    <w:rsid w:val="2FC516F9"/>
    <w:rsid w:val="2FEE58B6"/>
    <w:rsid w:val="301B70ED"/>
    <w:rsid w:val="305A13E0"/>
    <w:rsid w:val="30685C2F"/>
    <w:rsid w:val="31402876"/>
    <w:rsid w:val="317612F4"/>
    <w:rsid w:val="319C3849"/>
    <w:rsid w:val="31E100CB"/>
    <w:rsid w:val="31EF3181"/>
    <w:rsid w:val="32110481"/>
    <w:rsid w:val="324A15DA"/>
    <w:rsid w:val="32773DF3"/>
    <w:rsid w:val="329E1F7A"/>
    <w:rsid w:val="329F4483"/>
    <w:rsid w:val="339064C2"/>
    <w:rsid w:val="340D6656"/>
    <w:rsid w:val="345968B4"/>
    <w:rsid w:val="34D16D92"/>
    <w:rsid w:val="36444B34"/>
    <w:rsid w:val="36975FA3"/>
    <w:rsid w:val="36B941C7"/>
    <w:rsid w:val="37351A7F"/>
    <w:rsid w:val="37364261"/>
    <w:rsid w:val="37384EA6"/>
    <w:rsid w:val="37576A2C"/>
    <w:rsid w:val="37E05813"/>
    <w:rsid w:val="37ED7A3F"/>
    <w:rsid w:val="391C2628"/>
    <w:rsid w:val="39B37D47"/>
    <w:rsid w:val="39BC591B"/>
    <w:rsid w:val="39E451DC"/>
    <w:rsid w:val="3A0B2598"/>
    <w:rsid w:val="3AC03738"/>
    <w:rsid w:val="3AD17ADA"/>
    <w:rsid w:val="3D316203"/>
    <w:rsid w:val="3D871263"/>
    <w:rsid w:val="3D9B60E8"/>
    <w:rsid w:val="3DD31485"/>
    <w:rsid w:val="3E907376"/>
    <w:rsid w:val="3F9F3E62"/>
    <w:rsid w:val="3FB3291A"/>
    <w:rsid w:val="3FF22675"/>
    <w:rsid w:val="400E024B"/>
    <w:rsid w:val="405F16F6"/>
    <w:rsid w:val="406867FC"/>
    <w:rsid w:val="40827FFF"/>
    <w:rsid w:val="409475F1"/>
    <w:rsid w:val="40D8044A"/>
    <w:rsid w:val="42B21FB1"/>
    <w:rsid w:val="444D0412"/>
    <w:rsid w:val="44B30262"/>
    <w:rsid w:val="44F95237"/>
    <w:rsid w:val="45200A4B"/>
    <w:rsid w:val="453C3DB3"/>
    <w:rsid w:val="45D11941"/>
    <w:rsid w:val="45EF7078"/>
    <w:rsid w:val="46116505"/>
    <w:rsid w:val="4621197A"/>
    <w:rsid w:val="46A240EA"/>
    <w:rsid w:val="46F000D2"/>
    <w:rsid w:val="4795474A"/>
    <w:rsid w:val="4827018D"/>
    <w:rsid w:val="48A71E8C"/>
    <w:rsid w:val="49507E2D"/>
    <w:rsid w:val="499A7C13"/>
    <w:rsid w:val="49B45549"/>
    <w:rsid w:val="49E0216D"/>
    <w:rsid w:val="4B5055DD"/>
    <w:rsid w:val="4BE72184"/>
    <w:rsid w:val="4C070C68"/>
    <w:rsid w:val="4C0B2E67"/>
    <w:rsid w:val="4C3C0B3D"/>
    <w:rsid w:val="4C6A7458"/>
    <w:rsid w:val="4CC83899"/>
    <w:rsid w:val="4CFB5A0B"/>
    <w:rsid w:val="4D525435"/>
    <w:rsid w:val="4E3E6DEE"/>
    <w:rsid w:val="4E98182C"/>
    <w:rsid w:val="4EA97E64"/>
    <w:rsid w:val="4EE82E77"/>
    <w:rsid w:val="4F5C39D0"/>
    <w:rsid w:val="501E6ED7"/>
    <w:rsid w:val="502E69EF"/>
    <w:rsid w:val="506F7733"/>
    <w:rsid w:val="50FB4264"/>
    <w:rsid w:val="5104679B"/>
    <w:rsid w:val="522916A8"/>
    <w:rsid w:val="52E72728"/>
    <w:rsid w:val="52FE6B4C"/>
    <w:rsid w:val="531F42C3"/>
    <w:rsid w:val="532C36B9"/>
    <w:rsid w:val="534529CD"/>
    <w:rsid w:val="5516651F"/>
    <w:rsid w:val="55EA507D"/>
    <w:rsid w:val="56E322E1"/>
    <w:rsid w:val="57B36157"/>
    <w:rsid w:val="581E1362"/>
    <w:rsid w:val="586C3D2C"/>
    <w:rsid w:val="591218A6"/>
    <w:rsid w:val="59E02BDB"/>
    <w:rsid w:val="5A382944"/>
    <w:rsid w:val="5A487E08"/>
    <w:rsid w:val="5B1F2050"/>
    <w:rsid w:val="5B250FBB"/>
    <w:rsid w:val="5BB03E2C"/>
    <w:rsid w:val="5D34084B"/>
    <w:rsid w:val="5D3669F8"/>
    <w:rsid w:val="5DF03535"/>
    <w:rsid w:val="5E0C4813"/>
    <w:rsid w:val="5E3160C7"/>
    <w:rsid w:val="5F0714BC"/>
    <w:rsid w:val="5FF7504F"/>
    <w:rsid w:val="60F07078"/>
    <w:rsid w:val="619863BE"/>
    <w:rsid w:val="621757EE"/>
    <w:rsid w:val="62F359F8"/>
    <w:rsid w:val="63030225"/>
    <w:rsid w:val="63B35A2B"/>
    <w:rsid w:val="647B345A"/>
    <w:rsid w:val="65264A40"/>
    <w:rsid w:val="654C3128"/>
    <w:rsid w:val="66704F4C"/>
    <w:rsid w:val="672B25E5"/>
    <w:rsid w:val="69BA19B2"/>
    <w:rsid w:val="6A012A9F"/>
    <w:rsid w:val="6A0C16F7"/>
    <w:rsid w:val="6A3336F8"/>
    <w:rsid w:val="6AF95DC1"/>
    <w:rsid w:val="6C1535A2"/>
    <w:rsid w:val="6D027F23"/>
    <w:rsid w:val="6D415B5B"/>
    <w:rsid w:val="6DC24D4E"/>
    <w:rsid w:val="6E076DA5"/>
    <w:rsid w:val="6E147F5B"/>
    <w:rsid w:val="6EC65B9F"/>
    <w:rsid w:val="6F892874"/>
    <w:rsid w:val="70794419"/>
    <w:rsid w:val="70A22DB5"/>
    <w:rsid w:val="712D29B0"/>
    <w:rsid w:val="71A525BC"/>
    <w:rsid w:val="72D9787F"/>
    <w:rsid w:val="735E36A7"/>
    <w:rsid w:val="73891FCB"/>
    <w:rsid w:val="739B2036"/>
    <w:rsid w:val="73B54D05"/>
    <w:rsid w:val="7401519F"/>
    <w:rsid w:val="74F72893"/>
    <w:rsid w:val="74FC788D"/>
    <w:rsid w:val="75CE1F56"/>
    <w:rsid w:val="75DC28C5"/>
    <w:rsid w:val="76AC156E"/>
    <w:rsid w:val="778C3E77"/>
    <w:rsid w:val="77A86F03"/>
    <w:rsid w:val="780D6D66"/>
    <w:rsid w:val="78B628C5"/>
    <w:rsid w:val="793B3204"/>
    <w:rsid w:val="7A3B0ECB"/>
    <w:rsid w:val="7AD324E9"/>
    <w:rsid w:val="7B3A2568"/>
    <w:rsid w:val="7B42766E"/>
    <w:rsid w:val="7C523B82"/>
    <w:rsid w:val="7C6D6ED4"/>
    <w:rsid w:val="7C6F4493"/>
    <w:rsid w:val="7CBB07EC"/>
    <w:rsid w:val="7CE40CD4"/>
    <w:rsid w:val="7D7B2F82"/>
    <w:rsid w:val="7DFAD87D"/>
    <w:rsid w:val="7ECE7DAD"/>
    <w:rsid w:val="7EE12CFA"/>
    <w:rsid w:val="7EF40C80"/>
    <w:rsid w:val="7FB27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30"/>
    <w:qFormat/>
    <w:uiPriority w:val="99"/>
    <w:pPr>
      <w:keepNext/>
      <w:keepLines/>
      <w:spacing w:before="260" w:after="260" w:line="416" w:lineRule="auto"/>
      <w:outlineLvl w:val="2"/>
    </w:pPr>
    <w:rPr>
      <w:b/>
      <w:bCs/>
      <w:kern w:val="0"/>
      <w:sz w:val="32"/>
      <w:szCs w:val="32"/>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Document Map"/>
    <w:basedOn w:val="1"/>
    <w:link w:val="36"/>
    <w:unhideWhenUsed/>
    <w:qFormat/>
    <w:uiPriority w:val="99"/>
    <w:rPr>
      <w:rFonts w:ascii="宋体"/>
      <w:sz w:val="18"/>
      <w:szCs w:val="18"/>
    </w:rPr>
  </w:style>
  <w:style w:type="paragraph" w:styleId="7">
    <w:name w:val="annotation text"/>
    <w:basedOn w:val="1"/>
    <w:link w:val="34"/>
    <w:unhideWhenUsed/>
    <w:qFormat/>
    <w:uiPriority w:val="99"/>
    <w:pPr>
      <w:jc w:val="left"/>
    </w:pPr>
  </w:style>
  <w:style w:type="paragraph" w:styleId="8">
    <w:name w:val="Body Text"/>
    <w:basedOn w:val="1"/>
    <w:next w:val="1"/>
    <w:link w:val="41"/>
    <w:qFormat/>
    <w:uiPriority w:val="1"/>
    <w:pPr>
      <w:ind w:left="119"/>
      <w:jc w:val="left"/>
    </w:pPr>
    <w:rPr>
      <w:rFonts w:ascii="仿宋_GB2312" w:hAnsi="仿宋_GB2312" w:eastAsia="仿宋_GB2312" w:cstheme="minorBidi"/>
      <w:kern w:val="0"/>
      <w:szCs w:val="30"/>
      <w:lang w:eastAsia="en-US"/>
    </w:rPr>
  </w:style>
  <w:style w:type="paragraph" w:styleId="9">
    <w:name w:val="Body Text Indent"/>
    <w:basedOn w:val="1"/>
    <w:next w:val="10"/>
    <w:unhideWhenUsed/>
    <w:qFormat/>
    <w:uiPriority w:val="0"/>
    <w:pPr>
      <w:spacing w:after="120"/>
      <w:ind w:left="420" w:leftChars="200"/>
    </w:pPr>
  </w:style>
  <w:style w:type="paragraph" w:styleId="10">
    <w:name w:val="Body Text First Indent 2"/>
    <w:basedOn w:val="9"/>
    <w:next w:val="11"/>
    <w:qFormat/>
    <w:uiPriority w:val="99"/>
    <w:pPr>
      <w:spacing w:after="0" w:line="460" w:lineRule="exact"/>
      <w:ind w:left="0" w:leftChars="0" w:firstLine="420"/>
    </w:pPr>
  </w:style>
  <w:style w:type="paragraph" w:styleId="11">
    <w:name w:val="Body Text First Indent"/>
    <w:basedOn w:val="8"/>
    <w:qFormat/>
    <w:uiPriority w:val="0"/>
    <w:pPr>
      <w:spacing w:after="0" w:line="240" w:lineRule="atLeast"/>
      <w:ind w:firstLine="420" w:firstLineChars="100"/>
    </w:pPr>
    <w:rPr>
      <w:rFonts w:ascii="Times New Roman" w:hAnsi="Times New Roman" w:eastAsia="宋体"/>
      <w:szCs w:val="20"/>
    </w:r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Balloon Text"/>
    <w:basedOn w:val="1"/>
    <w:link w:val="33"/>
    <w:unhideWhenUsed/>
    <w:qFormat/>
    <w:uiPriority w:val="99"/>
    <w:rPr>
      <w:sz w:val="18"/>
      <w:szCs w:val="18"/>
    </w:rPr>
  </w:style>
  <w:style w:type="paragraph" w:styleId="14">
    <w:name w:val="footer"/>
    <w:basedOn w:val="1"/>
    <w:link w:val="3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widowControl/>
      <w:tabs>
        <w:tab w:val="right" w:leader="dot" w:pos="8931"/>
      </w:tabs>
      <w:spacing w:line="400" w:lineRule="exact"/>
      <w:jc w:val="left"/>
    </w:pPr>
    <w:rPr>
      <w:rFonts w:asciiTheme="minorHAnsi" w:hAnsiTheme="minorHAnsi" w:eastAsiaTheme="minorEastAsia"/>
      <w:kern w:val="0"/>
      <w:sz w:val="22"/>
      <w:szCs w:val="22"/>
    </w:rPr>
  </w:style>
  <w:style w:type="paragraph" w:styleId="17">
    <w:name w:val="footnote text"/>
    <w:basedOn w:val="1"/>
    <w:semiHidden/>
    <w:unhideWhenUsed/>
    <w:qFormat/>
    <w:uiPriority w:val="99"/>
    <w:pPr>
      <w:snapToGrid w:val="0"/>
      <w:jc w:val="left"/>
    </w:pPr>
    <w:rPr>
      <w:sz w:val="18"/>
    </w:rPr>
  </w:style>
  <w:style w:type="paragraph" w:styleId="18">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9">
    <w:name w:val="annotation subject"/>
    <w:basedOn w:val="7"/>
    <w:next w:val="7"/>
    <w:link w:val="35"/>
    <w:unhideWhenUsed/>
    <w:qFormat/>
    <w:uiPriority w:val="99"/>
    <w:rPr>
      <w:b/>
      <w:bCs/>
    </w:rPr>
  </w:style>
  <w:style w:type="table" w:styleId="21">
    <w:name w:val="Table Grid"/>
    <w:basedOn w:val="20"/>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page number"/>
    <w:basedOn w:val="22"/>
    <w:qFormat/>
    <w:uiPriority w:val="0"/>
  </w:style>
  <w:style w:type="character" w:styleId="25">
    <w:name w:val="Hyperlink"/>
    <w:basedOn w:val="22"/>
    <w:unhideWhenUsed/>
    <w:qFormat/>
    <w:uiPriority w:val="99"/>
    <w:rPr>
      <w:color w:val="0000FF" w:themeColor="hyperlink"/>
      <w:u w:val="single"/>
    </w:rPr>
  </w:style>
  <w:style w:type="character" w:styleId="26">
    <w:name w:val="annotation reference"/>
    <w:basedOn w:val="22"/>
    <w:unhideWhenUsed/>
    <w:qFormat/>
    <w:uiPriority w:val="99"/>
    <w:rPr>
      <w:sz w:val="21"/>
      <w:szCs w:val="21"/>
    </w:rPr>
  </w:style>
  <w:style w:type="character" w:styleId="27">
    <w:name w:val="footnote reference"/>
    <w:basedOn w:val="22"/>
    <w:semiHidden/>
    <w:unhideWhenUsed/>
    <w:qFormat/>
    <w:uiPriority w:val="99"/>
    <w:rPr>
      <w:vertAlign w:val="superscript"/>
    </w:rPr>
  </w:style>
  <w:style w:type="character" w:customStyle="1" w:styleId="28">
    <w:name w:val="标题 1 字符"/>
    <w:basedOn w:val="22"/>
    <w:link w:val="3"/>
    <w:qFormat/>
    <w:uiPriority w:val="9"/>
    <w:rPr>
      <w:rFonts w:ascii="Times New Roman" w:hAnsi="Times New Roman" w:eastAsia="宋体" w:cs="Times New Roman"/>
      <w:b/>
      <w:bCs/>
      <w:kern w:val="44"/>
      <w:sz w:val="44"/>
      <w:szCs w:val="44"/>
    </w:rPr>
  </w:style>
  <w:style w:type="character" w:customStyle="1" w:styleId="29">
    <w:name w:val="标题 2 字符"/>
    <w:basedOn w:val="22"/>
    <w:link w:val="4"/>
    <w:qFormat/>
    <w:uiPriority w:val="99"/>
    <w:rPr>
      <w:rFonts w:ascii="Cambria" w:hAnsi="Cambria" w:eastAsia="宋体" w:cs="Times New Roman"/>
      <w:b/>
      <w:bCs/>
      <w:kern w:val="0"/>
      <w:sz w:val="32"/>
      <w:szCs w:val="32"/>
    </w:rPr>
  </w:style>
  <w:style w:type="character" w:customStyle="1" w:styleId="30">
    <w:name w:val="标题 3 字符"/>
    <w:basedOn w:val="22"/>
    <w:link w:val="5"/>
    <w:qFormat/>
    <w:uiPriority w:val="99"/>
    <w:rPr>
      <w:rFonts w:ascii="Times New Roman" w:hAnsi="Times New Roman" w:eastAsia="宋体" w:cs="Times New Roman"/>
      <w:b/>
      <w:bCs/>
      <w:kern w:val="0"/>
      <w:sz w:val="32"/>
      <w:szCs w:val="32"/>
    </w:rPr>
  </w:style>
  <w:style w:type="character" w:customStyle="1" w:styleId="31">
    <w:name w:val="页眉 字符"/>
    <w:basedOn w:val="22"/>
    <w:link w:val="15"/>
    <w:qFormat/>
    <w:uiPriority w:val="99"/>
    <w:rPr>
      <w:sz w:val="18"/>
      <w:szCs w:val="18"/>
    </w:rPr>
  </w:style>
  <w:style w:type="character" w:customStyle="1" w:styleId="32">
    <w:name w:val="页脚 字符"/>
    <w:basedOn w:val="22"/>
    <w:link w:val="14"/>
    <w:qFormat/>
    <w:uiPriority w:val="0"/>
    <w:rPr>
      <w:sz w:val="18"/>
      <w:szCs w:val="18"/>
    </w:rPr>
  </w:style>
  <w:style w:type="character" w:customStyle="1" w:styleId="33">
    <w:name w:val="批注框文本 字符"/>
    <w:basedOn w:val="22"/>
    <w:link w:val="13"/>
    <w:semiHidden/>
    <w:qFormat/>
    <w:uiPriority w:val="99"/>
    <w:rPr>
      <w:rFonts w:ascii="Times New Roman" w:hAnsi="Times New Roman" w:eastAsia="宋体" w:cs="Times New Roman"/>
      <w:sz w:val="18"/>
      <w:szCs w:val="18"/>
    </w:rPr>
  </w:style>
  <w:style w:type="character" w:customStyle="1" w:styleId="34">
    <w:name w:val="批注文字 字符"/>
    <w:basedOn w:val="22"/>
    <w:link w:val="7"/>
    <w:qFormat/>
    <w:uiPriority w:val="99"/>
    <w:rPr>
      <w:rFonts w:ascii="Times New Roman" w:hAnsi="Times New Roman" w:eastAsia="宋体" w:cs="Times New Roman"/>
      <w:szCs w:val="21"/>
    </w:rPr>
  </w:style>
  <w:style w:type="character" w:customStyle="1" w:styleId="35">
    <w:name w:val="批注主题 字符"/>
    <w:basedOn w:val="34"/>
    <w:link w:val="19"/>
    <w:semiHidden/>
    <w:qFormat/>
    <w:uiPriority w:val="99"/>
    <w:rPr>
      <w:rFonts w:ascii="Times New Roman" w:hAnsi="Times New Roman" w:eastAsia="宋体" w:cs="Times New Roman"/>
      <w:b/>
      <w:bCs/>
      <w:szCs w:val="21"/>
    </w:rPr>
  </w:style>
  <w:style w:type="character" w:customStyle="1" w:styleId="36">
    <w:name w:val="文档结构图 字符"/>
    <w:basedOn w:val="22"/>
    <w:link w:val="6"/>
    <w:semiHidden/>
    <w:qFormat/>
    <w:uiPriority w:val="99"/>
    <w:rPr>
      <w:rFonts w:ascii="宋体" w:hAnsi="Times New Roman" w:eastAsia="宋体" w:cs="Times New Roman"/>
      <w:sz w:val="18"/>
      <w:szCs w:val="18"/>
    </w:rPr>
  </w:style>
  <w:style w:type="paragraph" w:customStyle="1" w:styleId="3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
    <w:name w:val="Revision"/>
    <w:hidden/>
    <w:semiHidden/>
    <w:qFormat/>
    <w:uiPriority w:val="99"/>
    <w:rPr>
      <w:rFonts w:ascii="Times New Roman" w:hAnsi="Times New Roman" w:eastAsia="宋体" w:cs="Times New Roman"/>
      <w:kern w:val="2"/>
      <w:sz w:val="21"/>
      <w:szCs w:val="21"/>
      <w:lang w:val="en-US" w:eastAsia="zh-CN" w:bidi="ar-SA"/>
    </w:rPr>
  </w:style>
  <w:style w:type="character" w:customStyle="1" w:styleId="39">
    <w:name w:val="页码 New New"/>
    <w:basedOn w:val="22"/>
    <w:qFormat/>
    <w:uiPriority w:val="0"/>
  </w:style>
  <w:style w:type="paragraph" w:customStyle="1" w:styleId="40">
    <w:name w:val="List Paragraph"/>
    <w:basedOn w:val="1"/>
    <w:qFormat/>
    <w:uiPriority w:val="34"/>
    <w:pPr>
      <w:ind w:firstLine="420" w:firstLineChars="200"/>
    </w:pPr>
  </w:style>
  <w:style w:type="character" w:customStyle="1" w:styleId="41">
    <w:name w:val="正文文本 字符"/>
    <w:basedOn w:val="22"/>
    <w:link w:val="8"/>
    <w:qFormat/>
    <w:uiPriority w:val="1"/>
    <w:rPr>
      <w:rFonts w:ascii="仿宋_GB2312" w:hAnsi="仿宋_GB2312" w:eastAsia="仿宋_GB2312"/>
      <w:kern w:val="0"/>
      <w:sz w:val="30"/>
      <w:szCs w:val="30"/>
      <w:lang w:eastAsia="en-US"/>
    </w:rPr>
  </w:style>
  <w:style w:type="character" w:customStyle="1" w:styleId="42">
    <w:name w:val="Unresolved Mention"/>
    <w:basedOn w:val="22"/>
    <w:unhideWhenUsed/>
    <w:qFormat/>
    <w:uiPriority w:val="99"/>
    <w:rPr>
      <w:color w:val="605E5C"/>
      <w:shd w:val="clear" w:color="auto" w:fill="E1DFDD"/>
    </w:rPr>
  </w:style>
  <w:style w:type="character" w:customStyle="1" w:styleId="43">
    <w:name w:val="font01"/>
    <w:basedOn w:val="22"/>
    <w:qFormat/>
    <w:uiPriority w:val="0"/>
    <w:rPr>
      <w:rFonts w:hint="eastAsia" w:ascii="宋体" w:hAnsi="宋体" w:eastAsia="宋体" w:cs="宋体"/>
      <w:color w:val="000000"/>
      <w:sz w:val="20"/>
      <w:szCs w:val="20"/>
      <w:u w:val="none"/>
    </w:rPr>
  </w:style>
  <w:style w:type="character" w:customStyle="1" w:styleId="44">
    <w:name w:val="font31"/>
    <w:basedOn w:val="22"/>
    <w:qFormat/>
    <w:uiPriority w:val="0"/>
    <w:rPr>
      <w:rFonts w:ascii="Arial" w:hAnsi="Arial" w:cs="Arial"/>
      <w:color w:val="000000"/>
      <w:sz w:val="20"/>
      <w:szCs w:val="20"/>
      <w:u w:val="none"/>
    </w:rPr>
  </w:style>
  <w:style w:type="character" w:customStyle="1" w:styleId="45">
    <w:name w:val="font41"/>
    <w:basedOn w:val="22"/>
    <w:qFormat/>
    <w:uiPriority w:val="0"/>
    <w:rPr>
      <w:rFonts w:ascii="Arial" w:hAnsi="Arial" w:cs="Arial"/>
      <w:color w:val="000000"/>
      <w:sz w:val="20"/>
      <w:szCs w:val="20"/>
      <w:u w:val="none"/>
    </w:rPr>
  </w:style>
  <w:style w:type="character" w:customStyle="1" w:styleId="46">
    <w:name w:val="font21"/>
    <w:basedOn w:val="22"/>
    <w:qFormat/>
    <w:uiPriority w:val="0"/>
    <w:rPr>
      <w:rFonts w:hint="eastAsia" w:ascii="仿宋" w:hAnsi="仿宋" w:eastAsia="仿宋" w:cs="仿宋"/>
      <w:color w:val="000000"/>
      <w:sz w:val="20"/>
      <w:szCs w:val="20"/>
      <w:u w:val="none"/>
    </w:rPr>
  </w:style>
  <w:style w:type="character" w:customStyle="1" w:styleId="47">
    <w:name w:val="font11"/>
    <w:basedOn w:val="22"/>
    <w:qFormat/>
    <w:uiPriority w:val="0"/>
    <w:rPr>
      <w:rFonts w:hint="eastAsia" w:ascii="仿宋" w:hAnsi="仿宋" w:eastAsia="仿宋" w:cs="仿宋"/>
      <w:color w:val="000000"/>
      <w:sz w:val="20"/>
      <w:szCs w:val="20"/>
      <w:u w:val="none"/>
    </w:rPr>
  </w:style>
  <w:style w:type="paragraph" w:styleId="48">
    <w:name w:val="No Spacing"/>
    <w:qFormat/>
    <w:uiPriority w:val="1"/>
    <w:pPr>
      <w:spacing w:line="240" w:lineRule="auto"/>
      <w:jc w:val="left"/>
    </w:pPr>
    <w:rPr>
      <w:rFonts w:ascii="宋体" w:hAnsi="宋体" w:eastAsia="宋体" w:cs="宋体"/>
      <w:kern w:val="0"/>
      <w:sz w:val="24"/>
      <w:szCs w:val="24"/>
      <w:lang w:val="en-US" w:eastAsia="zh-CN" w:bidi="ar-SA"/>
    </w:rPr>
  </w:style>
  <w:style w:type="character" w:customStyle="1" w:styleId="4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22774</Words>
  <Characters>24692</Characters>
  <Lines>30</Lines>
  <Paragraphs>8</Paragraphs>
  <TotalTime>16</TotalTime>
  <ScaleCrop>false</ScaleCrop>
  <LinksUpToDate>false</LinksUpToDate>
  <CharactersWithSpaces>25747</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2017-10-30T23:15:00Z</dcterms:created>
  <dcterms:modified xsi:type="dcterms:W3CDTF">2024-06-26T17:18:26Z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0210E0DE24324D83B5122632A75085C9</vt:lpwstr>
  </property>
</Properties>
</file>