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rPr>
      </w:pPr>
    </w:p>
    <w:p>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70" w:lineRule="exact"/>
        <w:ind w:left="0" w:leftChars="0" w:right="0" w:firstLine="0" w:firstLineChars="0"/>
        <w:jc w:val="center"/>
        <w:textAlignment w:val="auto"/>
        <w:rPr>
          <w:rFonts w:hint="eastAsia" w:ascii="宋体" w:hAnsi="宋体" w:eastAsia="宋体" w:cs="宋体"/>
          <w:i w:val="0"/>
          <w:caps w:val="0"/>
          <w:color w:val="auto"/>
          <w:spacing w:val="0"/>
          <w:sz w:val="44"/>
          <w:szCs w:val="44"/>
        </w:rPr>
      </w:pPr>
      <w:r>
        <w:rPr>
          <w:rFonts w:hint="eastAsia" w:ascii="宋体" w:hAnsi="宋体" w:eastAsia="宋体" w:cs="宋体"/>
          <w:i w:val="0"/>
          <w:caps w:val="0"/>
          <w:color w:val="auto"/>
          <w:spacing w:val="0"/>
          <w:sz w:val="44"/>
          <w:szCs w:val="44"/>
          <w:shd w:val="clear" w:color="auto" w:fill="FFFFFF"/>
        </w:rPr>
        <w:t>玉溪市住房和城乡建设局关于宣布废止部分行政规范性文件的决定</w:t>
      </w:r>
    </w:p>
    <w:p>
      <w:pPr>
        <w:pStyle w:val="3"/>
        <w:keepNext w:val="0"/>
        <w:keepLines w:val="0"/>
        <w:pageBreakBefore w:val="0"/>
        <w:widowControl/>
        <w:numPr>
          <w:ilvl w:val="2"/>
          <w:numId w:val="0"/>
        </w:numPr>
        <w:suppressLineNumbers w:val="0"/>
        <w:shd w:val="clear" w:color="auto" w:fill="FFFFFF"/>
        <w:kinsoku/>
        <w:wordWrap/>
        <w:overflowPunct/>
        <w:topLinePunct w:val="0"/>
        <w:autoSpaceDE/>
        <w:autoSpaceDN/>
        <w:bidi w:val="0"/>
        <w:spacing w:before="0" w:beforeLines="0" w:after="0" w:afterLines="0" w:line="570" w:lineRule="exact"/>
        <w:ind w:leftChars="200"/>
        <w:jc w:val="center"/>
        <w:textAlignment w:val="auto"/>
        <w:rPr>
          <w:rFonts w:hint="eastAsia" w:ascii="楷体_GB2312" w:hAnsi="楷体_GB2312" w:eastAsia="楷体_GB2312" w:cs="楷体_GB2312"/>
          <w:b w:val="0"/>
          <w:bCs/>
          <w:i w:val="0"/>
          <w:caps w:val="0"/>
          <w:color w:val="auto"/>
          <w:spacing w:val="0"/>
          <w:sz w:val="32"/>
          <w:szCs w:val="32"/>
          <w:shd w:val="clear" w:color="auto" w:fill="FFFFFF"/>
        </w:rPr>
      </w:pPr>
      <w:r>
        <w:rPr>
          <w:rFonts w:hint="eastAsia" w:ascii="楷体_GB2312" w:hAnsi="楷体_GB2312" w:eastAsia="楷体_GB2312" w:cs="楷体_GB2312"/>
          <w:b w:val="0"/>
          <w:bCs/>
          <w:i w:val="0"/>
          <w:caps w:val="0"/>
          <w:color w:val="auto"/>
          <w:spacing w:val="0"/>
          <w:sz w:val="32"/>
          <w:szCs w:val="32"/>
          <w:shd w:val="clear" w:color="auto" w:fill="FFFFFF"/>
        </w:rPr>
        <w:t>玉建规〔2020〕1号</w:t>
      </w:r>
    </w:p>
    <w:p>
      <w:pPr>
        <w:rPr>
          <w:rFonts w:hint="eastAsia" w:ascii="仿宋" w:hAnsi="仿宋" w:eastAsia="仿宋" w:cs="仿宋"/>
          <w:i w:val="0"/>
          <w:caps w:val="0"/>
          <w:color w:val="auto"/>
          <w:spacing w:val="0"/>
          <w:sz w:val="32"/>
          <w:szCs w:val="32"/>
          <w:shd w:val="clear" w:color="auto" w:fill="FFFFFF"/>
        </w:rPr>
      </w:pPr>
    </w:p>
    <w:p>
      <w:pPr>
        <w:rPr>
          <w:rFonts w:hint="eastAsia" w:ascii="仿宋" w:hAnsi="仿宋" w:eastAsia="仿宋" w:cs="仿宋"/>
          <w:i w:val="0"/>
          <w:caps w:val="0"/>
          <w:color w:val="auto"/>
          <w:spacing w:val="0"/>
          <w:sz w:val="32"/>
          <w:szCs w:val="32"/>
          <w:shd w:val="clear" w:color="auto" w:fill="FFFFFF"/>
        </w:rPr>
      </w:pP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leftChars="0" w:right="0" w:firstLine="0" w:firstLineChars="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市直各委、办、局，各人民团体和企事业单位，中央、省驻玉单位：</w:t>
      </w: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645"/>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根据《云南省行政规范性文件制定和备案办法》（省人民政府令第212号）相关规定，玉溪市住房和城乡建设局对本单位出台的行政规范性文件进行了清理。经中共玉溪市住房和城乡建设局党组2019年第十八次会议研究，决定对不适应城市建设管理工作现状的2件市住建局行政规范性文件予以废止。</w:t>
      </w: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645"/>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645"/>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玉溪市住房和城乡建设局</w:t>
      </w:r>
    </w:p>
    <w:p>
      <w:pPr>
        <w:pStyle w:val="7"/>
        <w:keepNext w:val="0"/>
        <w:keepLines w:val="0"/>
        <w:pageBreakBefore w:val="0"/>
        <w:widowControl/>
        <w:suppressLineNumbers w:val="0"/>
        <w:shd w:val="clear" w:color="auto" w:fill="FFFFFF"/>
        <w:kinsoku/>
        <w:wordWrap w:val="0"/>
        <w:overflowPunct/>
        <w:topLinePunct w:val="0"/>
        <w:autoSpaceDE/>
        <w:autoSpaceDN/>
        <w:bidi w:val="0"/>
        <w:spacing w:before="0" w:beforeAutospacing="0" w:after="0" w:afterAutospacing="0" w:line="570" w:lineRule="exact"/>
        <w:ind w:left="0" w:right="0" w:firstLine="0"/>
        <w:jc w:val="righ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2020年4月3日</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0"/>
        <w:jc w:val="both"/>
        <w:textAlignment w:val="auto"/>
        <w:rPr>
          <w:rFonts w:hint="eastAsia" w:ascii="仿宋" w:hAnsi="仿宋" w:eastAsia="仿宋" w:cs="仿宋"/>
          <w:i w:val="0"/>
          <w:caps w:val="0"/>
          <w:color w:val="auto"/>
          <w:spacing w:val="0"/>
          <w:sz w:val="32"/>
          <w:szCs w:val="32"/>
          <w:shd w:val="clear" w:color="auto" w:fill="FFFFFF"/>
        </w:rPr>
      </w:pPr>
    </w:p>
    <w:p>
      <w:pPr>
        <w:rPr>
          <w:rFonts w:hint="eastAsia" w:ascii="仿宋" w:hAnsi="仿宋" w:eastAsia="仿宋" w:cs="仿宋"/>
          <w:i w:val="0"/>
          <w:caps w:val="0"/>
          <w:color w:val="auto"/>
          <w:spacing w:val="0"/>
          <w:sz w:val="32"/>
          <w:szCs w:val="32"/>
          <w:shd w:val="clear" w:color="auto" w:fill="FFFFFF"/>
        </w:rPr>
      </w:pPr>
    </w:p>
    <w:p>
      <w:pPr>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（此件公开发布）</w:t>
      </w:r>
      <w:r>
        <w:rPr>
          <w:rFonts w:hint="eastAsia" w:ascii="仿宋" w:hAnsi="仿宋" w:eastAsia="仿宋" w:cs="仿宋"/>
          <w:i w:val="0"/>
          <w:caps w:val="0"/>
          <w:color w:val="auto"/>
          <w:spacing w:val="0"/>
          <w:sz w:val="32"/>
          <w:szCs w:val="32"/>
          <w:shd w:val="clear" w:color="auto" w:fill="FFFFFF"/>
        </w:rPr>
        <w:br w:type="page"/>
      </w: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0"/>
        <w:jc w:val="both"/>
        <w:textAlignment w:val="auto"/>
        <w:rPr>
          <w:rFonts w:hint="eastAsia" w:ascii="仿宋" w:hAnsi="仿宋" w:eastAsia="仿宋" w:cs="仿宋"/>
          <w:i w:val="0"/>
          <w:caps w:val="0"/>
          <w:color w:val="auto"/>
          <w:spacing w:val="0"/>
          <w:sz w:val="32"/>
          <w:szCs w:val="32"/>
          <w:shd w:val="clear" w:color="auto" w:fill="FFFFFF"/>
        </w:rPr>
      </w:pP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0"/>
        <w:jc w:val="both"/>
        <w:textAlignment w:val="auto"/>
        <w:rPr>
          <w:rFonts w:hint="eastAsia" w:ascii="宋体" w:hAnsi="宋体" w:eastAsia="宋体" w:cs="宋体"/>
          <w:i w:val="0"/>
          <w:caps w:val="0"/>
          <w:color w:val="auto"/>
          <w:spacing w:val="0"/>
          <w:sz w:val="44"/>
          <w:szCs w:val="44"/>
          <w:shd w:val="clear" w:color="auto" w:fill="FFFFFF"/>
        </w:rPr>
      </w:pPr>
      <w:r>
        <w:rPr>
          <w:rFonts w:hint="eastAsia" w:ascii="宋体" w:hAnsi="宋体" w:eastAsia="宋体" w:cs="宋体"/>
          <w:i w:val="0"/>
          <w:caps w:val="0"/>
          <w:color w:val="auto"/>
          <w:spacing w:val="0"/>
          <w:sz w:val="44"/>
          <w:szCs w:val="44"/>
          <w:shd w:val="clear" w:color="auto" w:fill="FFFFFF"/>
        </w:rPr>
        <w:t>玉溪市住房和城乡建设局决定废止的</w:t>
      </w:r>
    </w:p>
    <w:p>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70" w:lineRule="exact"/>
        <w:ind w:left="0" w:right="0" w:firstLine="0"/>
        <w:jc w:val="center"/>
        <w:textAlignment w:val="auto"/>
        <w:rPr>
          <w:rFonts w:hint="eastAsia" w:ascii="宋体" w:hAnsi="宋体" w:eastAsia="宋体" w:cs="宋体"/>
          <w:i w:val="0"/>
          <w:caps w:val="0"/>
          <w:color w:val="auto"/>
          <w:spacing w:val="0"/>
          <w:sz w:val="44"/>
          <w:szCs w:val="44"/>
          <w:shd w:val="clear" w:color="auto" w:fill="FFFFFF"/>
        </w:rPr>
      </w:pPr>
      <w:r>
        <w:rPr>
          <w:rFonts w:hint="eastAsia" w:ascii="宋体" w:hAnsi="宋体" w:eastAsia="宋体" w:cs="宋体"/>
          <w:i w:val="0"/>
          <w:caps w:val="0"/>
          <w:color w:val="auto"/>
          <w:spacing w:val="0"/>
          <w:sz w:val="44"/>
          <w:szCs w:val="44"/>
          <w:shd w:val="clear" w:color="auto" w:fill="FFFFFF"/>
        </w:rPr>
        <w:t>行政规范性文件目录</w:t>
      </w:r>
    </w:p>
    <w:p>
      <w:pPr>
        <w:pStyle w:val="3"/>
        <w:keepNext w:val="0"/>
        <w:keepLines w:val="0"/>
        <w:pageBreakBefore w:val="0"/>
        <w:widowControl/>
        <w:numPr>
          <w:ilvl w:val="2"/>
          <w:numId w:val="0"/>
        </w:numPr>
        <w:suppressLineNumbers w:val="0"/>
        <w:shd w:val="clear" w:color="auto" w:fill="FFFFFF"/>
        <w:kinsoku/>
        <w:wordWrap/>
        <w:overflowPunct/>
        <w:topLinePunct w:val="0"/>
        <w:autoSpaceDE/>
        <w:autoSpaceDN/>
        <w:bidi w:val="0"/>
        <w:adjustRightInd w:val="0"/>
        <w:snapToGrid w:val="0"/>
        <w:spacing w:before="0" w:beforeLines="0" w:after="0" w:afterLines="0" w:line="570" w:lineRule="exact"/>
        <w:ind w:leftChars="200"/>
        <w:jc w:val="both"/>
        <w:textAlignment w:val="auto"/>
        <w:rPr>
          <w:rFonts w:hint="eastAsia" w:ascii="仿宋" w:hAnsi="仿宋" w:eastAsia="仿宋" w:cs="仿宋"/>
          <w:i w:val="0"/>
          <w:caps w:val="0"/>
          <w:color w:val="auto"/>
          <w:spacing w:val="0"/>
          <w:sz w:val="32"/>
          <w:szCs w:val="32"/>
        </w:rPr>
      </w:pPr>
    </w:p>
    <w:tbl>
      <w:tblPr>
        <w:tblStyle w:val="10"/>
        <w:tblpPr w:leftFromText="180" w:rightFromText="180" w:vertAnchor="text" w:horzAnchor="page" w:tblpX="1300" w:tblpY="51"/>
        <w:tblOverlap w:val="never"/>
        <w:tblW w:w="10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43"/>
        <w:gridCol w:w="5566"/>
        <w:gridCol w:w="3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94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textAlignment w:val="auto"/>
              <w:rPr>
                <w:rFonts w:hint="eastAsia" w:ascii="仿宋_GB2312" w:hAnsi="仿宋_GB2312" w:eastAsia="仿宋_GB2312" w:cs="仿宋_GB2312"/>
                <w:b w:val="0"/>
                <w:bCs/>
                <w:color w:val="auto"/>
                <w:sz w:val="32"/>
                <w:szCs w:val="32"/>
              </w:rPr>
            </w:pPr>
            <w:r>
              <w:rPr>
                <w:rStyle w:val="9"/>
                <w:rFonts w:hint="eastAsia" w:ascii="仿宋_GB2312" w:hAnsi="仿宋_GB2312" w:eastAsia="仿宋_GB2312" w:cs="仿宋_GB2312"/>
                <w:b w:val="0"/>
                <w:bCs/>
                <w:i w:val="0"/>
                <w:caps w:val="0"/>
                <w:color w:val="auto"/>
                <w:spacing w:val="0"/>
                <w:sz w:val="32"/>
                <w:szCs w:val="32"/>
              </w:rPr>
              <w:t>序号</w:t>
            </w:r>
          </w:p>
        </w:tc>
        <w:tc>
          <w:tcPr>
            <w:tcW w:w="556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textAlignment w:val="auto"/>
              <w:rPr>
                <w:rFonts w:hint="eastAsia" w:ascii="仿宋_GB2312" w:hAnsi="仿宋_GB2312" w:eastAsia="仿宋_GB2312" w:cs="仿宋_GB2312"/>
                <w:b w:val="0"/>
                <w:bCs/>
                <w:color w:val="auto"/>
                <w:sz w:val="32"/>
                <w:szCs w:val="32"/>
              </w:rPr>
            </w:pPr>
            <w:r>
              <w:rPr>
                <w:rStyle w:val="9"/>
                <w:rFonts w:hint="eastAsia" w:ascii="仿宋_GB2312" w:hAnsi="仿宋_GB2312" w:eastAsia="仿宋_GB2312" w:cs="仿宋_GB2312"/>
                <w:b w:val="0"/>
                <w:bCs/>
                <w:i w:val="0"/>
                <w:caps w:val="0"/>
                <w:color w:val="auto"/>
                <w:spacing w:val="0"/>
                <w:sz w:val="32"/>
                <w:szCs w:val="32"/>
              </w:rPr>
              <w:t>文件名称及文号</w:t>
            </w:r>
          </w:p>
        </w:tc>
        <w:tc>
          <w:tcPr>
            <w:tcW w:w="358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textAlignment w:val="auto"/>
              <w:rPr>
                <w:rFonts w:hint="eastAsia" w:ascii="仿宋_GB2312" w:hAnsi="仿宋_GB2312" w:eastAsia="仿宋_GB2312" w:cs="仿宋_GB2312"/>
                <w:b w:val="0"/>
                <w:bCs/>
                <w:color w:val="auto"/>
                <w:sz w:val="32"/>
                <w:szCs w:val="32"/>
              </w:rPr>
            </w:pPr>
            <w:r>
              <w:rPr>
                <w:rStyle w:val="9"/>
                <w:rFonts w:hint="eastAsia" w:ascii="仿宋_GB2312" w:hAnsi="仿宋_GB2312" w:eastAsia="仿宋_GB2312" w:cs="仿宋_GB2312"/>
                <w:b w:val="0"/>
                <w:bCs/>
                <w:i w:val="0"/>
                <w:caps w:val="0"/>
                <w:color w:val="auto"/>
                <w:spacing w:val="0"/>
                <w:sz w:val="32"/>
                <w:szCs w:val="32"/>
              </w:rPr>
              <w:t>废止时间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94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1</w:t>
            </w:r>
          </w:p>
        </w:tc>
        <w:tc>
          <w:tcPr>
            <w:tcW w:w="556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《玉溪市“绿色图章”管理规定》（玉府登200621号）</w:t>
            </w:r>
          </w:p>
        </w:tc>
        <w:tc>
          <w:tcPr>
            <w:tcW w:w="358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自本决定印发之日起废止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8" w:hRule="atLeast"/>
        </w:trPr>
        <w:tc>
          <w:tcPr>
            <w:tcW w:w="94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2</w:t>
            </w:r>
          </w:p>
        </w:tc>
        <w:tc>
          <w:tcPr>
            <w:tcW w:w="556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关于玉溪中心城区运输建筑材料实施封闭管理的通告（玉府登20076号）</w:t>
            </w:r>
          </w:p>
        </w:tc>
        <w:tc>
          <w:tcPr>
            <w:tcW w:w="358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自本决定印发之日起废止</w:t>
            </w:r>
          </w:p>
        </w:tc>
      </w:tr>
    </w:tbl>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0"/>
        <w:jc w:val="center"/>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 xml:space="preserve">                      </w:t>
      </w: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0"/>
        <w:jc w:val="center"/>
        <w:textAlignment w:val="auto"/>
        <w:rPr>
          <w:rFonts w:hint="eastAsia" w:ascii="仿宋" w:hAnsi="仿宋" w:eastAsia="仿宋" w:cs="仿宋"/>
          <w:i w:val="0"/>
          <w:caps w:val="0"/>
          <w:color w:val="auto"/>
          <w:spacing w:val="0"/>
          <w:sz w:val="32"/>
          <w:szCs w:val="32"/>
          <w:shd w:val="clear" w:color="auto" w:fill="FFFFFF"/>
          <w:lang w:val="en-US" w:eastAsia="zh-CN"/>
        </w:rPr>
      </w:pP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lang w:val="en-US" w:eastAsia="zh-CN"/>
        </w:rPr>
        <w:t xml:space="preserve">              </w:t>
      </w: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0" w:lineRule="exact"/>
        <w:ind w:left="0" w:right="0" w:firstLine="0"/>
        <w:jc w:val="both"/>
        <w:textAlignment w:val="auto"/>
        <w:rPr>
          <w:rFonts w:hint="default" w:ascii="Times New Roman" w:hAnsi="Times New Roman" w:cs="Times New Roman"/>
          <w:i w:val="0"/>
          <w:caps w:val="0"/>
          <w:color w:val="auto"/>
          <w:spacing w:val="0"/>
          <w:sz w:val="21"/>
          <w:szCs w:val="21"/>
        </w:rPr>
      </w:pPr>
    </w:p>
    <w:p>
      <w:pPr>
        <w:keepNext w:val="0"/>
        <w:keepLines w:val="0"/>
        <w:pageBreakBefore w:val="0"/>
        <w:kinsoku/>
        <w:wordWrap/>
        <w:overflowPunct/>
        <w:topLinePunct w:val="0"/>
        <w:autoSpaceDE/>
        <w:autoSpaceDN/>
        <w:bidi w:val="0"/>
        <w:spacing w:line="570" w:lineRule="exact"/>
        <w:textAlignment w:val="auto"/>
        <w:rPr>
          <w:color w:val="auto"/>
        </w:rPr>
      </w:pPr>
    </w:p>
    <w:p>
      <w:pPr>
        <w:keepNext w:val="0"/>
        <w:keepLines w:val="0"/>
        <w:pageBreakBefore w:val="0"/>
        <w:kinsoku/>
        <w:wordWrap/>
        <w:overflowPunct/>
        <w:topLinePunct w:val="0"/>
        <w:autoSpaceDE/>
        <w:autoSpaceDN/>
        <w:bidi w:val="0"/>
        <w:spacing w:line="570" w:lineRule="exact"/>
        <w:textAlignment w:val="auto"/>
        <w:rPr>
          <w:rFonts w:hint="eastAsia"/>
          <w:color w:val="auto"/>
        </w:rPr>
      </w:pPr>
      <w:bookmarkStart w:id="0" w:name="_GoBack"/>
      <w:bookmarkEnd w:id="0"/>
    </w:p>
    <w:sectPr>
      <w:headerReference r:id="rId4" w:type="first"/>
      <w:footerReference r:id="rId6" w:type="first"/>
      <w:headerReference r:id="rId3" w:type="default"/>
      <w:footerReference r:id="rId5" w:type="default"/>
      <w:pgSz w:w="11906" w:h="16838"/>
      <w:pgMar w:top="1962" w:right="1474" w:bottom="1848" w:left="1588" w:header="850"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v:textbox>
            </v:shape>
          </w:pict>
        </mc:Fallback>
      </mc:AlternateContent>
    </w:r>
    <w:r>
      <w:rPr>
        <w:rFonts w:hint="eastAsia" w:eastAsia="仿宋"/>
        <w:sz w:val="32"/>
        <w:szCs w:val="48"/>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ind w:left="0" w:leftChars="0" w:firstLine="6400" w:firstLineChars="2000"/>
      <w:jc w:val="left"/>
      <w:textAlignment w:val="auto"/>
      <w:rPr>
        <w:sz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7462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bYCNedQBAAB3AwAADgAAAAAAAAABACAA&#10;AAAjAQAAZHJzL2Uyb0RvYy54bWxQSwUGAAAAAAYABgBZAQAAa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ind w:firstLine="4498" w:firstLineChars="1600"/>
      <w:jc w:val="left"/>
      <w:textAlignment w:val="auto"/>
      <w:rPr>
        <w:rFonts w:ascii="宋体" w:hAnsi="宋体" w:eastAsia="宋体"/>
        <w:sz w:val="28"/>
        <w:szCs w:val="28"/>
      </w:rPr>
    </w:pPr>
    <w:r>
      <w:rPr>
        <w:rFonts w:hint="eastAsia" w:ascii="宋体" w:hAnsi="宋体" w:eastAsia="宋体" w:cs="宋体"/>
        <w:b/>
        <w:bCs/>
        <w:color w:val="005192"/>
        <w:sz w:val="28"/>
        <w:szCs w:val="44"/>
        <w:lang w:val="en-US" w:eastAsia="zh-CN"/>
      </w:rPr>
      <w:t xml:space="preserve">玉溪市住房和城乡建设局发布     </w:t>
    </w:r>
  </w:p>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szCs w:val="3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438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xdOL2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szCs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eastAsia="zh-CN"/>
      </w:rPr>
      <w:t>玉溪市</w:t>
    </w:r>
    <w:r>
      <w:rPr>
        <w:rFonts w:hint="eastAsia" w:ascii="宋体" w:hAnsi="宋体" w:eastAsia="宋体" w:cs="宋体"/>
        <w:b/>
        <w:bCs/>
        <w:color w:val="005192"/>
        <w:sz w:val="32"/>
        <w:szCs w:val="32"/>
        <w:lang w:val="en-US" w:eastAsia="zh-CN"/>
      </w:rPr>
      <w:t>住房和城乡建设局规范性文件</w:t>
    </w:r>
  </w:p>
  <w:p>
    <w:pPr>
      <w:pStyle w:val="6"/>
      <w:ind w:firstLine="360"/>
      <w:rPr>
        <w:rFonts w:hint="eastAsia" w:ascii="宋体" w:hAnsi="宋体" w:eastAsia="宋体" w:cs="宋体"/>
        <w:sz w:val="32"/>
        <w:szCs w:val="32"/>
      </w:rPr>
    </w:pPr>
  </w:p>
  <w:p>
    <w:pPr>
      <w:pStyle w:val="6"/>
      <w:ind w:firstLine="360"/>
      <w:rPr>
        <w:rFonts w:hint="eastAsia" w:ascii="宋体" w:hAnsi="宋体" w:eastAsia="宋体" w:cs="宋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80674"/>
    <w:multiLevelType w:val="multilevel"/>
    <w:tmpl w:val="58880674"/>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suff w:val="nothing"/>
      <w:lvlText w:val="%2. "/>
      <w:lvlJc w:val="left"/>
      <w:pPr>
        <w:ind w:left="0" w:firstLine="400"/>
      </w:pPr>
      <w:rPr>
        <w:rFonts w:hint="eastAsia" w:ascii="宋体" w:hAnsi="宋体" w:eastAsia="宋体" w:cs="宋体"/>
      </w:rPr>
    </w:lvl>
    <w:lvl w:ilvl="2" w:tentative="0">
      <w:start w:val="1"/>
      <w:numFmt w:val="decimal"/>
      <w:pStyle w:val="3"/>
      <w:suff w:val="nothing"/>
      <w:lvlText w:val="%2.%3 "/>
      <w:lvlJc w:val="left"/>
      <w:pPr>
        <w:ind w:left="0" w:firstLine="402"/>
      </w:pPr>
      <w:rPr>
        <w:rFonts w:hint="eastAsia" w:ascii="宋体" w:hAnsi="宋体" w:eastAsia="宋体" w:cs="宋体"/>
      </w:rPr>
    </w:lvl>
    <w:lvl w:ilvl="3" w:tentative="0">
      <w:start w:val="1"/>
      <w:numFmt w:val="decimal"/>
      <w:suff w:val="nothing"/>
      <w:lvlText w:val="%2.%3.%4 "/>
      <w:lvlJc w:val="left"/>
      <w:pPr>
        <w:ind w:left="0" w:firstLine="402"/>
      </w:pPr>
      <w:rPr>
        <w:rFonts w:hint="eastAsia" w:ascii="宋体" w:hAnsi="宋体" w:eastAsia="宋体" w:cs="宋体"/>
      </w:rPr>
    </w:lvl>
    <w:lvl w:ilvl="4" w:tentative="0">
      <w:start w:val="1"/>
      <w:numFmt w:val="decimal"/>
      <w:suff w:val="nothing"/>
      <w:lvlText w:val="%2.%3.%4.%5 "/>
      <w:lvlJc w:val="left"/>
      <w:pPr>
        <w:ind w:left="0" w:firstLine="402"/>
      </w:pPr>
      <w:rPr>
        <w:rFonts w:hint="eastAsia" w:ascii="宋体" w:hAnsi="宋体" w:eastAsia="宋体" w:cs="宋体"/>
      </w:rPr>
    </w:lvl>
    <w:lvl w:ilvl="5" w:tentative="0">
      <w:start w:val="1"/>
      <w:numFmt w:val="decimal"/>
      <w:suff w:val="nothing"/>
      <w:lvlText w:val="%2.%3.%4.%5.%6 "/>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ascii="宋体" w:hAnsi="宋体" w:eastAsia="宋体" w:cs="宋体"/>
      </w:rPr>
    </w:lvl>
    <w:lvl w:ilvl="7" w:tentative="0">
      <w:start w:val="1"/>
      <w:numFmt w:val="decimalEnclosedCircleChinese"/>
      <w:suff w:val="nothing"/>
      <w:lvlText w:val="%7.%8 "/>
      <w:lvlJc w:val="left"/>
      <w:pPr>
        <w:ind w:left="0" w:firstLine="402"/>
      </w:pPr>
      <w:rPr>
        <w:rFonts w:hint="eastAsia" w:ascii="宋体" w:hAnsi="宋体" w:eastAsia="宋体" w:cs="宋体"/>
      </w:rPr>
    </w:lvl>
    <w:lvl w:ilvl="8" w:tentative="0">
      <w:start w:val="1"/>
      <w:numFmt w:val="decimalEnclosedCircleChinese"/>
      <w:suff w:val="nothing"/>
      <w:lvlText w:val="%7.%8.%9 "/>
      <w:lvlJc w:val="left"/>
      <w:pPr>
        <w:ind w:left="0" w:firstLine="402"/>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AF31F8E"/>
    <w:rsid w:val="0DCC03FC"/>
    <w:rsid w:val="271377D5"/>
    <w:rsid w:val="36341C1A"/>
    <w:rsid w:val="37EF6F7A"/>
    <w:rsid w:val="386326C4"/>
    <w:rsid w:val="3E901017"/>
    <w:rsid w:val="43086F0B"/>
    <w:rsid w:val="44C521B9"/>
    <w:rsid w:val="454D0298"/>
    <w:rsid w:val="46A92CD6"/>
    <w:rsid w:val="48E974EF"/>
    <w:rsid w:val="60CF2F80"/>
    <w:rsid w:val="669178DB"/>
    <w:rsid w:val="66C01547"/>
    <w:rsid w:val="67B202B0"/>
    <w:rsid w:val="75AA76BC"/>
    <w:rsid w:val="783C2DE7"/>
    <w:rsid w:val="7D0759A1"/>
    <w:rsid w:val="7F32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3">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2"/>
      <w:outlineLvl w:val="2"/>
    </w:pPr>
    <w:rPr>
      <w:b/>
      <w:sz w:val="32"/>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hAnsi="Times New Roman" w:eastAsia="宋体"/>
      <w:szCs w:val="24"/>
    </w:rPr>
  </w:style>
  <w:style w:type="paragraph" w:styleId="4">
    <w:name w:val="Balloon Text"/>
    <w:basedOn w:val="1"/>
    <w:link w:val="18"/>
    <w:unhideWhenUsed/>
    <w:qFormat/>
    <w:uiPriority w:val="99"/>
    <w:pPr>
      <w:spacing w:line="240" w:lineRule="auto"/>
    </w:pPr>
    <w:rPr>
      <w:sz w:val="18"/>
      <w:szCs w:val="18"/>
    </w:rPr>
  </w:style>
  <w:style w:type="paragraph" w:styleId="5">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20"/>
    <w:unhideWhenUsed/>
    <w:qFormat/>
    <w:uiPriority w:val="99"/>
    <w:pP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1">
    <w:name w:val="主标题"/>
    <w:basedOn w:val="1"/>
    <w:link w:val="21"/>
    <w:qFormat/>
    <w:uiPriority w:val="0"/>
    <w:pPr>
      <w:ind w:firstLine="0" w:firstLineChars="0"/>
      <w:jc w:val="center"/>
      <w:outlineLvl w:val="0"/>
    </w:pPr>
    <w:rPr>
      <w:rFonts w:eastAsia="方正小标宋_GBK"/>
      <w:sz w:val="44"/>
    </w:rPr>
  </w:style>
  <w:style w:type="paragraph" w:customStyle="1" w:styleId="12">
    <w:name w:val="—副标题"/>
    <w:basedOn w:val="11"/>
    <w:link w:val="22"/>
    <w:qFormat/>
    <w:uiPriority w:val="0"/>
    <w:rPr>
      <w:rFonts w:eastAsia="方正楷体_GBK"/>
      <w:sz w:val="32"/>
    </w:rPr>
  </w:style>
  <w:style w:type="paragraph" w:customStyle="1" w:styleId="13">
    <w:name w:val="一级标题"/>
    <w:basedOn w:val="1"/>
    <w:link w:val="23"/>
    <w:qFormat/>
    <w:uiPriority w:val="0"/>
    <w:pPr>
      <w:outlineLvl w:val="1"/>
    </w:pPr>
    <w:rPr>
      <w:rFonts w:eastAsia="方正黑体_GBK"/>
    </w:rPr>
  </w:style>
  <w:style w:type="paragraph" w:customStyle="1" w:styleId="14">
    <w:name w:val="二级标题"/>
    <w:basedOn w:val="13"/>
    <w:link w:val="24"/>
    <w:qFormat/>
    <w:uiPriority w:val="0"/>
    <w:pPr>
      <w:outlineLvl w:val="2"/>
    </w:pPr>
    <w:rPr>
      <w:rFonts w:eastAsia="方正楷体_GBK"/>
    </w:rPr>
  </w:style>
  <w:style w:type="paragraph" w:customStyle="1" w:styleId="15">
    <w:name w:val="行程缩进"/>
    <w:basedOn w:val="1"/>
    <w:link w:val="25"/>
    <w:qFormat/>
    <w:uiPriority w:val="0"/>
    <w:pPr>
      <w:ind w:left="600" w:leftChars="200" w:hanging="400" w:hangingChars="400"/>
    </w:pPr>
    <w:rPr>
      <w:kern w:val="0"/>
      <w:szCs w:val="20"/>
    </w:rPr>
  </w:style>
  <w:style w:type="paragraph" w:customStyle="1" w:styleId="16">
    <w:name w:val="人员缩进"/>
    <w:basedOn w:val="1"/>
    <w:link w:val="26"/>
    <w:qFormat/>
    <w:uiPriority w:val="0"/>
    <w:pPr>
      <w:ind w:left="600" w:leftChars="200" w:hanging="400" w:hangingChars="400"/>
    </w:pPr>
  </w:style>
  <w:style w:type="paragraph" w:customStyle="1" w:styleId="17">
    <w:name w:val="正文加粗"/>
    <w:basedOn w:val="1"/>
    <w:link w:val="27"/>
    <w:qFormat/>
    <w:uiPriority w:val="0"/>
    <w:pPr>
      <w:ind w:firstLine="630"/>
    </w:pPr>
    <w:rPr>
      <w:b/>
    </w:rPr>
  </w:style>
  <w:style w:type="character" w:customStyle="1" w:styleId="18">
    <w:name w:val=" Char Char2"/>
    <w:link w:val="4"/>
    <w:semiHidden/>
    <w:qFormat/>
    <w:uiPriority w:val="99"/>
    <w:rPr>
      <w:rFonts w:ascii="Times New Roman" w:hAnsi="Times New Roman" w:eastAsia="方正仿宋_GBK" w:cs="Times New Roman"/>
      <w:kern w:val="2"/>
      <w:sz w:val="18"/>
      <w:szCs w:val="18"/>
    </w:rPr>
  </w:style>
  <w:style w:type="character" w:customStyle="1" w:styleId="19">
    <w:name w:val=" Char Char1"/>
    <w:link w:val="5"/>
    <w:qFormat/>
    <w:uiPriority w:val="99"/>
    <w:rPr>
      <w:rFonts w:ascii="Times New Roman" w:hAnsi="Times New Roman" w:eastAsia="方正仿宋_GBK" w:cs="Times New Roman"/>
      <w:sz w:val="18"/>
      <w:szCs w:val="18"/>
    </w:rPr>
  </w:style>
  <w:style w:type="character" w:customStyle="1" w:styleId="20">
    <w:name w:val=" Char Char"/>
    <w:link w:val="6"/>
    <w:qFormat/>
    <w:uiPriority w:val="99"/>
    <w:rPr>
      <w:rFonts w:ascii="Times New Roman" w:hAnsi="Times New Roman" w:eastAsia="方正仿宋_GBK" w:cs="Times New Roman"/>
      <w:kern w:val="2"/>
      <w:sz w:val="18"/>
      <w:szCs w:val="18"/>
    </w:rPr>
  </w:style>
  <w:style w:type="character" w:customStyle="1" w:styleId="21">
    <w:name w:val="主标题 字符"/>
    <w:link w:val="11"/>
    <w:qFormat/>
    <w:uiPriority w:val="0"/>
    <w:rPr>
      <w:rFonts w:ascii="Times New Roman" w:hAnsi="Times New Roman" w:eastAsia="方正小标宋_GBK" w:cs="Times New Roman"/>
      <w:kern w:val="2"/>
      <w:sz w:val="44"/>
      <w:szCs w:val="24"/>
    </w:rPr>
  </w:style>
  <w:style w:type="character" w:customStyle="1" w:styleId="22">
    <w:name w:val="—副标题 字符"/>
    <w:link w:val="12"/>
    <w:qFormat/>
    <w:uiPriority w:val="0"/>
    <w:rPr>
      <w:rFonts w:ascii="Times New Roman" w:hAnsi="Times New Roman" w:eastAsia="方正楷体_GBK" w:cs="Times New Roman"/>
      <w:sz w:val="32"/>
    </w:rPr>
  </w:style>
  <w:style w:type="character" w:customStyle="1" w:styleId="23">
    <w:name w:val="一级标题 字符"/>
    <w:link w:val="13"/>
    <w:qFormat/>
    <w:uiPriority w:val="0"/>
    <w:rPr>
      <w:rFonts w:ascii="Times New Roman" w:hAnsi="Times New Roman" w:eastAsia="方正黑体_GBK" w:cs="Times New Roman"/>
      <w:kern w:val="2"/>
      <w:sz w:val="32"/>
      <w:szCs w:val="24"/>
    </w:rPr>
  </w:style>
  <w:style w:type="character" w:customStyle="1" w:styleId="24">
    <w:name w:val="二级标题 字符"/>
    <w:link w:val="14"/>
    <w:qFormat/>
    <w:uiPriority w:val="0"/>
    <w:rPr>
      <w:rFonts w:ascii="Times New Roman" w:hAnsi="Times New Roman" w:eastAsia="方正楷体_GBK" w:cs="Times New Roman"/>
      <w:kern w:val="2"/>
      <w:sz w:val="32"/>
      <w:szCs w:val="24"/>
    </w:rPr>
  </w:style>
  <w:style w:type="character" w:customStyle="1" w:styleId="25">
    <w:name w:val="行程缩进 字符"/>
    <w:link w:val="15"/>
    <w:qFormat/>
    <w:uiPriority w:val="0"/>
    <w:rPr>
      <w:rFonts w:ascii="Times New Roman" w:hAnsi="Times New Roman" w:eastAsia="方正仿宋_GBK" w:cs="Times New Roman"/>
      <w:sz w:val="32"/>
    </w:rPr>
  </w:style>
  <w:style w:type="character" w:customStyle="1" w:styleId="26">
    <w:name w:val="人员缩进 字符"/>
    <w:link w:val="16"/>
    <w:qFormat/>
    <w:uiPriority w:val="0"/>
    <w:rPr>
      <w:rFonts w:ascii="Times New Roman" w:hAnsi="Times New Roman" w:eastAsia="方正仿宋_GBK" w:cs="Times New Roman"/>
      <w:kern w:val="2"/>
      <w:sz w:val="32"/>
      <w:szCs w:val="24"/>
    </w:rPr>
  </w:style>
  <w:style w:type="character" w:customStyle="1" w:styleId="27">
    <w:name w:val="正文加粗 字符"/>
    <w:link w:val="17"/>
    <w:qFormat/>
    <w:uiPriority w:val="0"/>
    <w:rPr>
      <w:rFonts w:ascii="Times New Roman" w:hAnsi="Times New Roman" w:eastAsia="方正仿宋_GBK"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Administrator</cp:lastModifiedBy>
  <dcterms:modified xsi:type="dcterms:W3CDTF">2023-03-30T13:00:52Z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