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outlineLvl w:val="1"/>
        <w:rPr>
          <w:rFonts w:hint="default" w:ascii="Times New Roman" w:hAnsi="Times New Roman" w:eastAsia="方正黑体_GBK" w:cs="Times New Roman"/>
          <w:b w:val="0"/>
          <w:bCs w:val="0"/>
          <w:strike w:val="0"/>
          <w:dstrike w:val="0"/>
          <w:color w:val="auto"/>
          <w:sz w:val="32"/>
          <w:szCs w:val="32"/>
          <w:highlight w:val="none"/>
          <w:lang w:val="en-US" w:eastAsia="zh-CN"/>
        </w:rPr>
      </w:pPr>
      <w:r>
        <w:rPr>
          <w:rFonts w:hint="default" w:ascii="Times New Roman" w:hAnsi="Times New Roman" w:eastAsia="方正黑体_GBK" w:cs="Times New Roman"/>
          <w:b w:val="0"/>
          <w:bCs w:val="0"/>
          <w:strike w:val="0"/>
          <w:dstrike w:val="0"/>
          <w:color w:val="auto"/>
          <w:sz w:val="32"/>
          <w:szCs w:val="32"/>
          <w:highlight w:val="none"/>
          <w:lang w:val="en-US" w:eastAsia="zh-CN"/>
        </w:rPr>
        <w:t>附件5</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宋体" w:hAnsi="宋体" w:eastAsia="方正小标宋_GBK" w:cs="方正小标宋_GBK"/>
          <w:b w:val="0"/>
          <w:bCs w:val="0"/>
          <w:strike w:val="0"/>
          <w:dstrike w:val="0"/>
          <w:color w:val="auto"/>
          <w:sz w:val="40"/>
          <w:szCs w:val="40"/>
          <w:lang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宋体" w:hAnsi="宋体" w:eastAsia="方正小标宋_GBK" w:cs="方正小标宋_GBK"/>
          <w:b w:val="0"/>
          <w:bCs w:val="0"/>
          <w:strike w:val="0"/>
          <w:dstrike w:val="0"/>
          <w:color w:val="auto"/>
          <w:sz w:val="44"/>
          <w:szCs w:val="44"/>
          <w:lang w:eastAsia="zh-CN"/>
        </w:rPr>
      </w:pPr>
      <w:r>
        <w:rPr>
          <w:rFonts w:hint="eastAsia" w:ascii="宋体" w:hAnsi="宋体" w:eastAsia="方正小标宋_GBK" w:cs="方正小标宋_GBK"/>
          <w:b w:val="0"/>
          <w:bCs w:val="0"/>
          <w:strike w:val="0"/>
          <w:dstrike w:val="0"/>
          <w:color w:val="auto"/>
          <w:sz w:val="44"/>
          <w:szCs w:val="44"/>
          <w:lang w:eastAsia="zh-CN"/>
        </w:rPr>
        <w:t>典当行解散审批</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hint="eastAsia" w:ascii="Times New Roman" w:hAnsi="Times New Roman" w:eastAsia="方正楷体_GBK" w:cs="Times New Roman"/>
          <w:b w:val="0"/>
          <w:bCs w:val="0"/>
          <w:strike w:val="0"/>
          <w:dstrike w:val="0"/>
          <w:color w:val="auto"/>
          <w:sz w:val="32"/>
          <w:szCs w:val="32"/>
          <w:lang w:val="en-US" w:eastAsia="zh-CN"/>
        </w:rPr>
      </w:pPr>
      <w:r>
        <w:rPr>
          <w:rFonts w:hint="eastAsia" w:ascii="Times New Roman" w:hAnsi="Times New Roman" w:eastAsia="方正楷体_GBK" w:cs="Times New Roman"/>
          <w:b w:val="0"/>
          <w:bCs w:val="0"/>
          <w:strike w:val="0"/>
          <w:dstrike w:val="0"/>
          <w:color w:val="auto"/>
          <w:sz w:val="32"/>
          <w:szCs w:val="32"/>
          <w:lang w:val="en-US" w:eastAsia="zh-CN"/>
        </w:rPr>
        <w:t>【00015510400004】</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仿宋_GBK" w:cs="Times New Roman"/>
          <w:b w:val="0"/>
          <w:bCs w:val="0"/>
          <w:strike w:val="0"/>
          <w:dstrike w:val="0"/>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rPr>
      </w:pPr>
      <w:r>
        <w:rPr>
          <w:rFonts w:hint="eastAsia" w:ascii="方正黑体_GBK" w:hAnsi="方正黑体_GBK" w:eastAsia="方正黑体_GBK" w:cs="方正黑体_GBK"/>
          <w:b w:val="0"/>
          <w:bCs w:val="0"/>
          <w:strike w:val="0"/>
          <w:dstrike w:val="0"/>
          <w:color w:val="auto"/>
          <w:spacing w:val="0"/>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rPr>
        <w:t>行政许可事项名称</w:t>
      </w:r>
      <w:r>
        <w:rPr>
          <w:rFonts w:hint="default" w:ascii="Times New Roman" w:hAnsi="Times New Roman" w:eastAsia="方正仿宋_GBK" w:cs="Times New Roman"/>
          <w:b w:val="0"/>
          <w:bCs w:val="0"/>
          <w:strike w:val="0"/>
          <w:dstrike w:val="0"/>
          <w:color w:val="auto"/>
          <w:spacing w:val="0"/>
          <w:sz w:val="32"/>
          <w:szCs w:val="32"/>
          <w:lang w:val="en-US" w:eastAsia="zh-CN"/>
        </w:rPr>
        <w:t>及编码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spacing w:val="0"/>
          <w:sz w:val="32"/>
          <w:szCs w:val="32"/>
          <w:lang w:val="en-US"/>
        </w:rPr>
        <w:t>设立典当行及分支机构审批</w:t>
      </w:r>
      <w:r>
        <w:rPr>
          <w:rFonts w:hint="default" w:ascii="Times New Roman" w:hAnsi="Times New Roman" w:eastAsia="方正仿宋_GBK" w:cs="Times New Roman"/>
          <w:b w:val="0"/>
          <w:bCs w:val="0"/>
          <w:strike w:val="0"/>
          <w:dstrike w:val="0"/>
          <w:spacing w:val="0"/>
          <w:sz w:val="32"/>
          <w:szCs w:val="32"/>
          <w:lang w:val="en-US" w:eastAsia="zh-CN"/>
        </w:rPr>
        <w:t>【</w:t>
      </w:r>
      <w:r>
        <w:rPr>
          <w:rFonts w:hint="default" w:ascii="Times New Roman" w:hAnsi="Times New Roman" w:eastAsia="方正仿宋_GBK" w:cs="Times New Roman"/>
          <w:b w:val="0"/>
          <w:bCs w:val="0"/>
          <w:strike w:val="0"/>
          <w:dstrike w:val="0"/>
          <w:spacing w:val="0"/>
          <w:sz w:val="32"/>
          <w:szCs w:val="32"/>
          <w:lang w:val="en-US"/>
        </w:rPr>
        <w:t>000155104000</w:t>
      </w:r>
      <w:r>
        <w:rPr>
          <w:rFonts w:hint="default" w:ascii="Times New Roman" w:hAnsi="Times New Roman" w:eastAsia="方正仿宋_GBK" w:cs="Times New Roman"/>
          <w:b w:val="0"/>
          <w:bCs w:val="0"/>
          <w:strike w:val="0"/>
          <w:dstrike w:val="0"/>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行政许可事项子项名称及编码</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行政许可事项业务办理项名称及编码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spacing w:val="0"/>
          <w:sz w:val="32"/>
          <w:szCs w:val="32"/>
          <w:lang w:val="en-US" w:eastAsia="zh-CN"/>
        </w:rPr>
        <w:t>典当行解散审批(00015510400004)</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设定依据</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（1）国务院对确需保留的行政审批项目设定行政许可的决定</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5</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实施依据</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（1）中国银行保险监督管理委员会职能配置、内设机构和人员编制规定</w:t>
      </w:r>
      <w:r>
        <w:rPr>
          <w:rFonts w:hint="eastAsia" w:eastAsia="方正仿宋_GBK" w:cs="Times New Roman"/>
          <w:b w:val="0"/>
          <w:bCs w:val="0"/>
          <w:strike w:val="0"/>
          <w:dstrike w:val="0"/>
          <w:color w:val="auto"/>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（2）商务部办公厅关于融资租赁公司、商业保理公司和典当行管理职责调整有关事宜的通知</w:t>
      </w:r>
      <w:r>
        <w:rPr>
          <w:rFonts w:hint="eastAsia" w:eastAsia="方正仿宋_GBK" w:cs="Times New Roman"/>
          <w:b w:val="0"/>
          <w:bCs w:val="0"/>
          <w:strike w:val="0"/>
          <w:dstrike w:val="0"/>
          <w:color w:val="auto"/>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6</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监管依据</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（1）典当管理办法</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（2）中国银保监会办公厅关于加强典当行监督管理的通知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7</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实施机关：省地方金融监管局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8</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审批层级：省级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9</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行使层级：省级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10</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是否由审批机关受理：否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受理层级：</w:t>
      </w:r>
      <w:r>
        <w:rPr>
          <w:rFonts w:hint="default" w:ascii="Times New Roman" w:hAnsi="Times New Roman" w:eastAsia="方正仿宋_GBK" w:cs="Times New Roman"/>
          <w:b w:val="0"/>
          <w:bCs w:val="0"/>
          <w:strike w:val="0"/>
          <w:dstrike w:val="0"/>
          <w:spacing w:val="0"/>
          <w:sz w:val="32"/>
          <w:szCs w:val="32"/>
          <w:lang w:val="en-US" w:eastAsia="zh-CN"/>
        </w:rPr>
        <w:t>设区的市级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12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是否存在初审环节：是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highlight w:val="yellow"/>
          <w:lang w:val="en-US"/>
        </w:rPr>
      </w:pP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13</w:t>
      </w:r>
      <w:r>
        <w:rPr>
          <w:rFonts w:hint="eastAsia" w:eastAsia="方正仿宋_GBK" w:cs="Times New Roman"/>
          <w:b w:val="0"/>
          <w:bCs w:val="0"/>
          <w:strike w:val="0"/>
          <w:dstrike w:val="0"/>
          <w:color w:val="auto"/>
          <w:spacing w:val="0"/>
          <w:sz w:val="32"/>
          <w:szCs w:val="32"/>
          <w:highlight w:val="none"/>
          <w:lang w:val="en-US" w:eastAsia="zh-CN"/>
        </w:rPr>
        <w:t>．</w:t>
      </w: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初审层级：</w:t>
      </w:r>
      <w:r>
        <w:rPr>
          <w:rFonts w:hint="default" w:ascii="Times New Roman" w:hAnsi="Times New Roman" w:eastAsia="方正仿宋_GBK" w:cs="Times New Roman"/>
          <w:b w:val="0"/>
          <w:bCs w:val="0"/>
          <w:strike w:val="0"/>
          <w:dstrike w:val="0"/>
          <w:spacing w:val="0"/>
          <w:sz w:val="32"/>
          <w:szCs w:val="32"/>
          <w:lang w:val="en-US" w:eastAsia="zh-CN"/>
        </w:rPr>
        <w:t>设区的市级</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对应政务服务事项国家级基本目录名称：设立典当行及分支机构审批（设立、变更、注销）</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准予行政许可的条件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典当行拟解散。</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规定行政许可条件的依据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典当管理办法第二十二条 典当行解散应当提前3个月向省级商务主管部门提出申请，经批准后，应当停止除赎当和处理绝当物品以外的其他业务，并依法成立清算组，进行清算。</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highlight w:val="none"/>
          <w:lang w:val="en-US" w:eastAsia="zh-CN"/>
        </w:rPr>
      </w:pPr>
      <w:r>
        <w:rPr>
          <w:rFonts w:hint="eastAsia" w:ascii="方正黑体_GBK" w:hAnsi="方正黑体_GBK" w:eastAsia="方正黑体_GBK" w:cs="方正黑体_GBK"/>
          <w:b w:val="0"/>
          <w:bCs w:val="0"/>
          <w:strike w:val="0"/>
          <w:dstrike w:val="0"/>
          <w:color w:val="auto"/>
          <w:spacing w:val="0"/>
          <w:sz w:val="32"/>
          <w:szCs w:val="32"/>
          <w:highlight w:val="none"/>
          <w:lang w:val="en-US" w:eastAsia="zh-CN"/>
        </w:rPr>
        <w:t>四、行政许可服务对象类型与改革举措</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spacing w:val="0"/>
          <w:sz w:val="32"/>
          <w:szCs w:val="32"/>
          <w:highlight w:val="none"/>
          <w:lang w:val="en-US" w:eastAsia="zh-CN"/>
        </w:rPr>
        <w:t>1</w:t>
      </w:r>
      <w:r>
        <w:rPr>
          <w:rFonts w:hint="eastAsia" w:eastAsia="方正仿宋_GBK" w:cs="Times New Roman"/>
          <w:b w:val="0"/>
          <w:bCs w:val="0"/>
          <w:strike w:val="0"/>
          <w:dstrike w:val="0"/>
          <w:spacing w:val="0"/>
          <w:sz w:val="32"/>
          <w:szCs w:val="32"/>
          <w:highlight w:val="none"/>
          <w:lang w:val="en-US" w:eastAsia="zh-CN"/>
        </w:rPr>
        <w:t>．</w:t>
      </w:r>
      <w:r>
        <w:rPr>
          <w:rFonts w:hint="default" w:ascii="Times New Roman" w:hAnsi="Times New Roman" w:eastAsia="方正仿宋_GBK" w:cs="Times New Roman"/>
          <w:b w:val="0"/>
          <w:bCs w:val="0"/>
          <w:strike w:val="0"/>
          <w:dstrike w:val="0"/>
          <w:spacing w:val="0"/>
          <w:sz w:val="32"/>
          <w:szCs w:val="32"/>
          <w:highlight w:val="none"/>
          <w:lang w:val="en-US" w:eastAsia="zh-CN"/>
        </w:rPr>
        <w:t>服务对象类型：</w:t>
      </w:r>
      <w:r>
        <w:rPr>
          <w:rFonts w:hint="default" w:ascii="Times New Roman" w:hAnsi="Times New Roman" w:eastAsia="方正仿宋_GBK" w:cs="Times New Roman"/>
          <w:b w:val="0"/>
          <w:bCs w:val="0"/>
          <w:strike w:val="0"/>
          <w:dstrike w:val="0"/>
          <w:color w:val="auto"/>
          <w:spacing w:val="0"/>
          <w:sz w:val="32"/>
          <w:szCs w:val="32"/>
          <w:lang w:val="en-US" w:eastAsia="zh-CN"/>
        </w:rPr>
        <w:t>企业法人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spacing w:val="0"/>
          <w:sz w:val="32"/>
          <w:szCs w:val="32"/>
          <w:highlight w:val="none"/>
          <w:lang w:val="en-US" w:eastAsia="zh-CN"/>
        </w:rPr>
        <w:t>2</w:t>
      </w:r>
      <w:r>
        <w:rPr>
          <w:rFonts w:hint="eastAsia" w:eastAsia="方正仿宋_GBK" w:cs="Times New Roman"/>
          <w:b w:val="0"/>
          <w:bCs w:val="0"/>
          <w:strike w:val="0"/>
          <w:dstrike w:val="0"/>
          <w:spacing w:val="0"/>
          <w:sz w:val="32"/>
          <w:szCs w:val="32"/>
          <w:highlight w:val="none"/>
          <w:lang w:val="en-US" w:eastAsia="zh-CN"/>
        </w:rPr>
        <w:t>．</w:t>
      </w:r>
      <w:r>
        <w:rPr>
          <w:rFonts w:hint="default" w:ascii="Times New Roman" w:hAnsi="Times New Roman" w:eastAsia="方正仿宋_GBK" w:cs="Times New Roman"/>
          <w:b w:val="0"/>
          <w:bCs w:val="0"/>
          <w:strike w:val="0"/>
          <w:dstrike w:val="0"/>
          <w:spacing w:val="0"/>
          <w:sz w:val="32"/>
          <w:szCs w:val="32"/>
          <w:highlight w:val="none"/>
          <w:lang w:val="en-US" w:eastAsia="zh-CN"/>
        </w:rPr>
        <w:t>是否为涉企许可事项：</w:t>
      </w:r>
      <w:r>
        <w:rPr>
          <w:rFonts w:hint="default" w:ascii="Times New Roman" w:hAnsi="Times New Roman" w:eastAsia="方正仿宋_GBK" w:cs="Times New Roman"/>
          <w:b w:val="0"/>
          <w:bCs w:val="0"/>
          <w:strike w:val="0"/>
          <w:dstrike w:val="0"/>
          <w:color w:val="auto"/>
          <w:spacing w:val="0"/>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spacing w:val="0"/>
          <w:sz w:val="32"/>
          <w:szCs w:val="32"/>
          <w:highlight w:val="none"/>
          <w:lang w:val="en-US" w:eastAsia="zh-CN"/>
        </w:rPr>
        <w:t>3</w:t>
      </w:r>
      <w:r>
        <w:rPr>
          <w:rFonts w:hint="eastAsia" w:eastAsia="方正仿宋_GBK" w:cs="Times New Roman"/>
          <w:b w:val="0"/>
          <w:bCs w:val="0"/>
          <w:strike w:val="0"/>
          <w:dstrike w:val="0"/>
          <w:spacing w:val="0"/>
          <w:sz w:val="32"/>
          <w:szCs w:val="32"/>
          <w:highlight w:val="none"/>
          <w:lang w:val="en-US" w:eastAsia="zh-CN"/>
        </w:rPr>
        <w:t>．</w:t>
      </w:r>
      <w:r>
        <w:rPr>
          <w:rFonts w:hint="default" w:ascii="Times New Roman" w:hAnsi="Times New Roman" w:eastAsia="方正仿宋_GBK" w:cs="Times New Roman"/>
          <w:b w:val="0"/>
          <w:bCs w:val="0"/>
          <w:strike w:val="0"/>
          <w:dstrike w:val="0"/>
          <w:spacing w:val="0"/>
          <w:sz w:val="32"/>
          <w:szCs w:val="32"/>
          <w:highlight w:val="none"/>
          <w:lang w:val="en-US" w:eastAsia="zh-CN"/>
        </w:rPr>
        <w:t>涉企经营许可事项名称：</w:t>
      </w:r>
      <w:r>
        <w:rPr>
          <w:rFonts w:hint="default" w:ascii="Times New Roman" w:hAnsi="Times New Roman" w:eastAsia="方正仿宋_GBK" w:cs="Times New Roman"/>
          <w:b w:val="0"/>
          <w:bCs w:val="0"/>
          <w:strike w:val="0"/>
          <w:dstrike w:val="0"/>
          <w:color w:val="auto"/>
          <w:spacing w:val="0"/>
          <w:sz w:val="32"/>
          <w:szCs w:val="32"/>
          <w:lang w:val="en-US" w:eastAsia="zh-CN"/>
        </w:rPr>
        <w:t>设立典当行及分支机构审批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spacing w:val="0"/>
          <w:sz w:val="32"/>
          <w:szCs w:val="32"/>
          <w:highlight w:val="none"/>
          <w:lang w:val="en-US" w:eastAsia="zh-CN"/>
        </w:rPr>
        <w:t>4</w:t>
      </w:r>
      <w:r>
        <w:rPr>
          <w:rFonts w:hint="eastAsia" w:eastAsia="方正仿宋_GBK" w:cs="Times New Roman"/>
          <w:b w:val="0"/>
          <w:bCs w:val="0"/>
          <w:strike w:val="0"/>
          <w:dstrike w:val="0"/>
          <w:spacing w:val="0"/>
          <w:sz w:val="32"/>
          <w:szCs w:val="32"/>
          <w:highlight w:val="none"/>
          <w:lang w:val="en-US" w:eastAsia="zh-CN"/>
        </w:rPr>
        <w:t>．</w:t>
      </w:r>
      <w:r>
        <w:rPr>
          <w:rFonts w:hint="default" w:ascii="Times New Roman" w:hAnsi="Times New Roman" w:eastAsia="方正仿宋_GBK" w:cs="Times New Roman"/>
          <w:b w:val="0"/>
          <w:bCs w:val="0"/>
          <w:strike w:val="0"/>
          <w:dstrike w:val="0"/>
          <w:spacing w:val="0"/>
          <w:sz w:val="32"/>
          <w:szCs w:val="32"/>
          <w:highlight w:val="none"/>
          <w:lang w:val="en-US" w:eastAsia="zh-CN"/>
        </w:rPr>
        <w:t>许可证件名称：</w:t>
      </w:r>
      <w:r>
        <w:rPr>
          <w:rFonts w:hint="default" w:ascii="Times New Roman" w:hAnsi="Times New Roman" w:eastAsia="方正仿宋_GBK" w:cs="Times New Roman"/>
          <w:b w:val="0"/>
          <w:bCs w:val="0"/>
          <w:strike w:val="0"/>
          <w:dstrike w:val="0"/>
          <w:color w:val="auto"/>
          <w:spacing w:val="0"/>
          <w:sz w:val="32"/>
          <w:szCs w:val="32"/>
          <w:lang w:val="en-US" w:eastAsia="zh-CN"/>
        </w:rPr>
        <w:t>典当经营许可证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spacing w:val="0"/>
          <w:sz w:val="32"/>
          <w:szCs w:val="32"/>
          <w:highlight w:val="none"/>
          <w:lang w:val="en-US" w:eastAsia="zh-CN"/>
        </w:rPr>
        <w:t>5</w:t>
      </w:r>
      <w:r>
        <w:rPr>
          <w:rFonts w:hint="eastAsia" w:eastAsia="方正仿宋_GBK" w:cs="Times New Roman"/>
          <w:b w:val="0"/>
          <w:bCs w:val="0"/>
          <w:strike w:val="0"/>
          <w:dstrike w:val="0"/>
          <w:spacing w:val="0"/>
          <w:sz w:val="32"/>
          <w:szCs w:val="32"/>
          <w:highlight w:val="none"/>
          <w:lang w:val="en-US" w:eastAsia="zh-CN"/>
        </w:rPr>
        <w:t>．</w:t>
      </w:r>
      <w:r>
        <w:rPr>
          <w:rFonts w:hint="default" w:ascii="Times New Roman" w:hAnsi="Times New Roman" w:eastAsia="方正仿宋_GBK" w:cs="Times New Roman"/>
          <w:b w:val="0"/>
          <w:bCs w:val="0"/>
          <w:strike w:val="0"/>
          <w:dstrike w:val="0"/>
          <w:spacing w:val="0"/>
          <w:sz w:val="32"/>
          <w:szCs w:val="32"/>
          <w:highlight w:val="none"/>
          <w:lang w:val="en-US" w:eastAsia="zh-CN"/>
        </w:rPr>
        <w:t>改革方式：</w:t>
      </w:r>
      <w:r>
        <w:rPr>
          <w:rFonts w:hint="default" w:ascii="Times New Roman" w:hAnsi="Times New Roman" w:eastAsia="方正仿宋_GBK" w:cs="Times New Roman"/>
          <w:b w:val="0"/>
          <w:bCs w:val="0"/>
          <w:strike w:val="0"/>
          <w:dstrike w:val="0"/>
          <w:color w:val="auto"/>
          <w:spacing w:val="0"/>
          <w:sz w:val="32"/>
          <w:szCs w:val="32"/>
          <w:lang w:val="en-US" w:eastAsia="zh-CN"/>
        </w:rPr>
        <w:t>优化审批服务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highlight w:val="none"/>
          <w:lang w:val="en-US" w:eastAsia="zh-CN"/>
        </w:rPr>
      </w:pPr>
      <w:r>
        <w:rPr>
          <w:rFonts w:hint="default" w:ascii="Times New Roman" w:hAnsi="Times New Roman" w:eastAsia="方正仿宋_GBK" w:cs="Times New Roman"/>
          <w:b w:val="0"/>
          <w:bCs w:val="0"/>
          <w:strike w:val="0"/>
          <w:dstrike w:val="0"/>
          <w:spacing w:val="0"/>
          <w:sz w:val="32"/>
          <w:szCs w:val="32"/>
          <w:highlight w:val="none"/>
          <w:lang w:val="en-US" w:eastAsia="zh-CN"/>
        </w:rPr>
        <w:t>6</w:t>
      </w:r>
      <w:r>
        <w:rPr>
          <w:rFonts w:hint="eastAsia" w:eastAsia="方正仿宋_GBK" w:cs="Times New Roman"/>
          <w:b w:val="0"/>
          <w:bCs w:val="0"/>
          <w:strike w:val="0"/>
          <w:dstrike w:val="0"/>
          <w:spacing w:val="0"/>
          <w:sz w:val="32"/>
          <w:szCs w:val="32"/>
          <w:highlight w:val="none"/>
          <w:lang w:val="en-US" w:eastAsia="zh-CN"/>
        </w:rPr>
        <w:t>．</w:t>
      </w:r>
      <w:r>
        <w:rPr>
          <w:rFonts w:hint="default" w:ascii="Times New Roman" w:hAnsi="Times New Roman" w:eastAsia="方正仿宋_GBK" w:cs="Times New Roman"/>
          <w:b w:val="0"/>
          <w:bCs w:val="0"/>
          <w:strike w:val="0"/>
          <w:dstrike w:val="0"/>
          <w:spacing w:val="0"/>
          <w:sz w:val="32"/>
          <w:szCs w:val="32"/>
          <w:highlight w:val="none"/>
          <w:lang w:val="en-US" w:eastAsia="zh-CN"/>
        </w:rPr>
        <w:t>具体改革举措</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将典当经营许可证的有效期限由6年延长至10年。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highlight w:val="none"/>
          <w:lang w:val="en-US" w:eastAsia="zh-CN"/>
        </w:rPr>
      </w:pPr>
      <w:r>
        <w:rPr>
          <w:rFonts w:hint="default" w:ascii="Times New Roman" w:hAnsi="Times New Roman" w:eastAsia="方正仿宋_GBK" w:cs="Times New Roman"/>
          <w:b w:val="0"/>
          <w:bCs w:val="0"/>
          <w:strike w:val="0"/>
          <w:dstrike w:val="0"/>
          <w:spacing w:val="0"/>
          <w:sz w:val="32"/>
          <w:szCs w:val="32"/>
          <w:highlight w:val="none"/>
          <w:lang w:val="en-US" w:eastAsia="zh-CN"/>
        </w:rPr>
        <w:t>7</w:t>
      </w:r>
      <w:r>
        <w:rPr>
          <w:rFonts w:hint="eastAsia" w:eastAsia="方正仿宋_GBK" w:cs="Times New Roman"/>
          <w:b w:val="0"/>
          <w:bCs w:val="0"/>
          <w:strike w:val="0"/>
          <w:dstrike w:val="0"/>
          <w:spacing w:val="0"/>
          <w:sz w:val="32"/>
          <w:szCs w:val="32"/>
          <w:highlight w:val="none"/>
          <w:lang w:val="en-US" w:eastAsia="zh-CN"/>
        </w:rPr>
        <w:t>．</w:t>
      </w:r>
      <w:r>
        <w:rPr>
          <w:rFonts w:hint="default" w:ascii="Times New Roman" w:hAnsi="Times New Roman" w:eastAsia="方正仿宋_GBK" w:cs="Times New Roman"/>
          <w:b w:val="0"/>
          <w:bCs w:val="0"/>
          <w:strike w:val="0"/>
          <w:dstrike w:val="0"/>
          <w:spacing w:val="0"/>
          <w:sz w:val="32"/>
          <w:szCs w:val="32"/>
          <w:highlight w:val="none"/>
          <w:lang w:val="en-US" w:eastAsia="zh-CN"/>
        </w:rPr>
        <w:t>加强事中事后监管措施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eastAsia" w:eastAsia="方正仿宋_GBK" w:cs="Times New Roman"/>
          <w:b w:val="0"/>
          <w:bCs w:val="0"/>
          <w:strike w:val="0"/>
          <w:dstrike w:val="0"/>
          <w:color w:val="auto"/>
          <w:spacing w:val="0"/>
          <w:sz w:val="32"/>
          <w:szCs w:val="32"/>
          <w:lang w:val="en-US" w:eastAsia="zh-CN"/>
        </w:rPr>
        <w:t>（1）</w:t>
      </w:r>
      <w:r>
        <w:rPr>
          <w:rFonts w:hint="default" w:ascii="Times New Roman" w:hAnsi="Times New Roman" w:eastAsia="方正仿宋_GBK" w:cs="Times New Roman"/>
          <w:b w:val="0"/>
          <w:bCs w:val="0"/>
          <w:strike w:val="0"/>
          <w:dstrike w:val="0"/>
          <w:color w:val="auto"/>
          <w:spacing w:val="0"/>
          <w:sz w:val="32"/>
          <w:szCs w:val="32"/>
          <w:lang w:val="en-US" w:eastAsia="zh-CN"/>
        </w:rPr>
        <w:t>通过年审、现场检查、非现场监管等方式，加强事中事后监管，发现违法违规行为要依法查处。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eastAsia" w:eastAsia="方正仿宋_GBK" w:cs="Times New Roman"/>
          <w:b w:val="0"/>
          <w:bCs w:val="0"/>
          <w:strike w:val="0"/>
          <w:dstrike w:val="0"/>
          <w:color w:val="auto"/>
          <w:spacing w:val="0"/>
          <w:sz w:val="32"/>
          <w:szCs w:val="32"/>
          <w:lang w:val="en-US" w:eastAsia="zh-CN"/>
        </w:rPr>
        <w:t>（2）</w:t>
      </w:r>
      <w:r>
        <w:rPr>
          <w:rFonts w:hint="default" w:ascii="Times New Roman" w:hAnsi="Times New Roman" w:eastAsia="方正仿宋_GBK" w:cs="Times New Roman"/>
          <w:b w:val="0"/>
          <w:bCs w:val="0"/>
          <w:strike w:val="0"/>
          <w:dstrike w:val="0"/>
          <w:color w:val="auto"/>
          <w:spacing w:val="0"/>
          <w:sz w:val="32"/>
          <w:szCs w:val="32"/>
          <w:lang w:val="en-US" w:eastAsia="zh-CN"/>
        </w:rPr>
        <w:t>进一步完善监管指标体系，建立分级、分类监管制度，强化市场约束，提高监管透明度。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申请材料名称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解散申请</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规定申请材料的依据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典当管理办法第二十二条 典当行解散应当提前3个月向省级商务主管部门提出申请，经批准后，应当停止除赎当和处理绝当物品以外的其他业务，并依法成立清算组，进行清算。</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六、中介服务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有无法定中介服务事项：无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中介服务事项名称：无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设定中介服务事项的依据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提供中介服务的机构：无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5</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中介服务事项的收费性质：无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办理行政许可的程序环节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eastAsia" w:eastAsia="方正仿宋_GBK" w:cs="Times New Roman"/>
          <w:b w:val="0"/>
          <w:bCs w:val="0"/>
          <w:strike w:val="0"/>
          <w:dstrike w:val="0"/>
          <w:color w:val="auto"/>
          <w:spacing w:val="0"/>
          <w:sz w:val="32"/>
          <w:szCs w:val="32"/>
          <w:lang w:val="en-US" w:eastAsia="zh-CN"/>
        </w:rPr>
        <w:t>（1）</w:t>
      </w:r>
      <w:r>
        <w:rPr>
          <w:rFonts w:hint="default" w:ascii="Times New Roman" w:hAnsi="Times New Roman" w:eastAsia="方正仿宋_GBK" w:cs="Times New Roman"/>
          <w:b w:val="0"/>
          <w:bCs w:val="0"/>
          <w:strike w:val="0"/>
          <w:dstrike w:val="0"/>
          <w:color w:val="auto"/>
          <w:spacing w:val="0"/>
          <w:sz w:val="32"/>
          <w:szCs w:val="32"/>
          <w:lang w:val="en-US" w:eastAsia="zh-CN"/>
        </w:rPr>
        <w:t>受理；</w:t>
      </w:r>
      <w:r>
        <w:rPr>
          <w:rFonts w:hint="eastAsia" w:eastAsia="方正仿宋_GBK" w:cs="Times New Roman"/>
          <w:b w:val="0"/>
          <w:bCs w:val="0"/>
          <w:strike w:val="0"/>
          <w:dstrike w:val="0"/>
          <w:color w:val="auto"/>
          <w:spacing w:val="0"/>
          <w:sz w:val="32"/>
          <w:szCs w:val="32"/>
          <w:lang w:val="en-US" w:eastAsia="zh-CN"/>
        </w:rPr>
        <w:t>（2）</w:t>
      </w:r>
      <w:r>
        <w:rPr>
          <w:rFonts w:hint="default" w:ascii="Times New Roman" w:hAnsi="Times New Roman" w:eastAsia="方正仿宋_GBK" w:cs="Times New Roman"/>
          <w:b w:val="0"/>
          <w:bCs w:val="0"/>
          <w:strike w:val="0"/>
          <w:dstrike w:val="0"/>
          <w:color w:val="auto"/>
          <w:spacing w:val="0"/>
          <w:sz w:val="32"/>
          <w:szCs w:val="32"/>
          <w:lang w:val="en-US" w:eastAsia="zh-CN"/>
        </w:rPr>
        <w:t>初审；</w:t>
      </w:r>
      <w:r>
        <w:rPr>
          <w:rFonts w:hint="eastAsia" w:eastAsia="方正仿宋_GBK" w:cs="Times New Roman"/>
          <w:b w:val="0"/>
          <w:bCs w:val="0"/>
          <w:strike w:val="0"/>
          <w:dstrike w:val="0"/>
          <w:color w:val="auto"/>
          <w:spacing w:val="0"/>
          <w:sz w:val="32"/>
          <w:szCs w:val="32"/>
          <w:lang w:val="en-US" w:eastAsia="zh-CN"/>
        </w:rPr>
        <w:t>（3）</w:t>
      </w:r>
      <w:r>
        <w:rPr>
          <w:rFonts w:hint="default" w:ascii="Times New Roman" w:hAnsi="Times New Roman" w:eastAsia="方正仿宋_GBK" w:cs="Times New Roman"/>
          <w:b w:val="0"/>
          <w:bCs w:val="0"/>
          <w:strike w:val="0"/>
          <w:dstrike w:val="0"/>
          <w:color w:val="auto"/>
          <w:spacing w:val="0"/>
          <w:sz w:val="32"/>
          <w:szCs w:val="32"/>
          <w:lang w:val="en-US" w:eastAsia="zh-CN"/>
        </w:rPr>
        <w:t>决定；</w:t>
      </w:r>
      <w:r>
        <w:rPr>
          <w:rFonts w:hint="eastAsia" w:eastAsia="方正仿宋_GBK" w:cs="Times New Roman"/>
          <w:b w:val="0"/>
          <w:bCs w:val="0"/>
          <w:strike w:val="0"/>
          <w:dstrike w:val="0"/>
          <w:color w:val="auto"/>
          <w:spacing w:val="0"/>
          <w:sz w:val="32"/>
          <w:szCs w:val="32"/>
          <w:lang w:val="en-US" w:eastAsia="zh-CN"/>
        </w:rPr>
        <w:t>（4）</w:t>
      </w:r>
      <w:r>
        <w:rPr>
          <w:rFonts w:hint="default" w:ascii="Times New Roman" w:hAnsi="Times New Roman" w:eastAsia="方正仿宋_GBK" w:cs="Times New Roman"/>
          <w:b w:val="0"/>
          <w:bCs w:val="0"/>
          <w:strike w:val="0"/>
          <w:dstrike w:val="0"/>
          <w:color w:val="auto"/>
          <w:spacing w:val="0"/>
          <w:sz w:val="32"/>
          <w:szCs w:val="32"/>
          <w:lang w:val="en-US" w:eastAsia="zh-CN"/>
        </w:rPr>
        <w:t>送达</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规定行政许可程序的依据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典当管理办法第二十二条 典当行解散应当提前3个月向省级商务主管部门提出申请，经批准后，应当停止除赎当和处理绝当物品以外的其他业务，并依法成立清算组，进行清算。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是否需要现场勘验：部分情况下开展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是否需要组织听证：否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5</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是否需要招标、拍卖、挂牌交易：否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6</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是否需要检验、检测、检疫：否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7</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是否需要鉴定：否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8</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是否需要专家评审：否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9</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是否需要向社会公示：否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10</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是否实行告知承诺办理：否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审批机关是否委托服务机构开展技术性服务：否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承诺受理时限：5个工作日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spacing w:val="0"/>
          <w:sz w:val="32"/>
          <w:szCs w:val="32"/>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法定审批时限：20个工作日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规定法定审批时限依据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000000" w:themeColor="text1"/>
          <w:spacing w:val="0"/>
          <w:sz w:val="32"/>
          <w:szCs w:val="32"/>
          <w:lang w:val="en-US"/>
          <w14:textFill>
            <w14:solidFill>
              <w14:schemeClr w14:val="tx1"/>
            </w14:solidFill>
          </w14:textFill>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承诺审批时限：9个工作日</w:t>
      </w:r>
      <w:r>
        <w:rPr>
          <w:rFonts w:hint="default" w:ascii="Times New Roman" w:hAnsi="Times New Roman" w:eastAsia="方正仿宋_GBK" w:cs="Times New Roman"/>
          <w:b w:val="0"/>
          <w:bCs w:val="0"/>
          <w:strike w:val="0"/>
          <w:dstrike w:val="0"/>
          <w:color w:val="000000" w:themeColor="text1"/>
          <w:spacing w:val="0"/>
          <w:sz w:val="32"/>
          <w:szCs w:val="32"/>
          <w:lang w:val="en-US" w:eastAsia="zh-CN"/>
          <w14:textFill>
            <w14:solidFill>
              <w14:schemeClr w14:val="tx1"/>
            </w14:solidFill>
          </w14:textFill>
        </w:rPr>
        <w:t>（备注：承诺初审时限1个工作日）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九、收费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办理行政许可是否收费：否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收费项目的名称、收费项目的标准、设定收费项目的依据、规定收费标准的依据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十、行政许可证件（标注地方未按省政府办公厅修改意见修改）</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highlight w:val="none"/>
          <w:lang w:val="en-US" w:eastAsia="zh-CN"/>
        </w:rPr>
      </w:pP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1</w:t>
      </w:r>
      <w:r>
        <w:rPr>
          <w:rFonts w:hint="eastAsia" w:eastAsia="方正仿宋_GBK" w:cs="Times New Roman"/>
          <w:b w:val="0"/>
          <w:bCs w:val="0"/>
          <w:strike w:val="0"/>
          <w:dstrike w:val="0"/>
          <w:color w:val="auto"/>
          <w:spacing w:val="0"/>
          <w:sz w:val="32"/>
          <w:szCs w:val="32"/>
          <w:highlight w:val="none"/>
          <w:lang w:val="en-US" w:eastAsia="zh-CN"/>
        </w:rPr>
        <w:t>．</w:t>
      </w: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审批结果类型：文件</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highlight w:val="none"/>
          <w:lang w:val="en-US" w:eastAsia="zh-CN"/>
        </w:rPr>
      </w:pP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2</w:t>
      </w:r>
      <w:r>
        <w:rPr>
          <w:rFonts w:hint="eastAsia" w:eastAsia="方正仿宋_GBK" w:cs="Times New Roman"/>
          <w:b w:val="0"/>
          <w:bCs w:val="0"/>
          <w:strike w:val="0"/>
          <w:dstrike w:val="0"/>
          <w:color w:val="auto"/>
          <w:spacing w:val="0"/>
          <w:sz w:val="32"/>
          <w:szCs w:val="32"/>
          <w:highlight w:val="none"/>
          <w:lang w:val="en-US" w:eastAsia="zh-CN"/>
        </w:rPr>
        <w:t>．</w:t>
      </w: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审批结果名称：注</w:t>
      </w:r>
      <w:r>
        <w:rPr>
          <w:rFonts w:hint="default" w:ascii="Times New Roman" w:hAnsi="Times New Roman" w:eastAsia="方正仿宋_GBK" w:cs="Times New Roman"/>
          <w:b w:val="0"/>
          <w:bCs w:val="0"/>
          <w:strike w:val="0"/>
          <w:dstrike w:val="0"/>
          <w:color w:val="auto"/>
          <w:spacing w:val="0"/>
          <w:sz w:val="32"/>
          <w:szCs w:val="32"/>
          <w:lang w:val="en-US" w:eastAsia="zh-CN"/>
        </w:rPr>
        <w:t>销经营许可决定</w:t>
      </w: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highlight w:val="none"/>
          <w:lang w:val="en-US" w:eastAsia="zh-CN"/>
        </w:rPr>
      </w:pP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3</w:t>
      </w:r>
      <w:r>
        <w:rPr>
          <w:rFonts w:hint="eastAsia" w:eastAsia="方正仿宋_GBK" w:cs="Times New Roman"/>
          <w:b w:val="0"/>
          <w:bCs w:val="0"/>
          <w:strike w:val="0"/>
          <w:dstrike w:val="0"/>
          <w:color w:val="auto"/>
          <w:spacing w:val="0"/>
          <w:sz w:val="32"/>
          <w:szCs w:val="32"/>
          <w:highlight w:val="none"/>
          <w:lang w:val="en-US" w:eastAsia="zh-CN"/>
        </w:rPr>
        <w:t>．</w:t>
      </w: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审批结果的有效期限：长期</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color w:val="auto"/>
          <w:spacing w:val="0"/>
          <w:sz w:val="32"/>
          <w:szCs w:val="32"/>
          <w:highlight w:val="none"/>
          <w:lang w:val="en-US" w:eastAsia="zh-CN"/>
        </w:rPr>
      </w:pP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4</w:t>
      </w:r>
      <w:r>
        <w:rPr>
          <w:rFonts w:hint="eastAsia" w:eastAsia="方正仿宋_GBK" w:cs="Times New Roman"/>
          <w:b w:val="0"/>
          <w:bCs w:val="0"/>
          <w:strike w:val="0"/>
          <w:dstrike w:val="0"/>
          <w:color w:val="auto"/>
          <w:spacing w:val="0"/>
          <w:sz w:val="32"/>
          <w:szCs w:val="32"/>
          <w:highlight w:val="none"/>
          <w:lang w:val="en-US" w:eastAsia="zh-CN"/>
        </w:rPr>
        <w:t>．</w:t>
      </w: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规定审批结果有效期限的依据</w:t>
      </w:r>
      <w:r>
        <w:rPr>
          <w:rFonts w:hint="eastAsia" w:eastAsia="方正仿宋_GBK" w:cs="Times New Roman"/>
          <w:b w:val="0"/>
          <w:bCs w:val="0"/>
          <w:strike w:val="0"/>
          <w:dstrike w:val="0"/>
          <w:color w:val="auto"/>
          <w:spacing w:val="0"/>
          <w:sz w:val="32"/>
          <w:szCs w:val="32"/>
          <w:highlight w:val="none"/>
          <w:lang w:val="en-US" w:eastAsia="zh-CN"/>
        </w:rPr>
        <w:t>：</w:t>
      </w: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5</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是否需要办理审批结果变更手续：否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6</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办理审批结果变更手续的要求</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7</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是否需要办理审批结果延续手续：否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8</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办理审批结果延续手续的要求</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9</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审批结果的有效地域范围</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审批结果未涉及有效地域范围。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10</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规定审批结果有效地域范围的依据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有无行政许可数量限制：无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公布数量限制的方式：无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公布数量限制的周期：无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在数量限制条件下实施行政许可的方式：无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5</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规定在数量限制条件下实施行政许可方式的依据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有无年检要求：无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设定年检要求的依据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年检周期：无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年检是否要求报送材料：无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5</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年检报送材料名称：无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6</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年检是否收费：无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7</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年检收费项目的名称、年检收费项目的标准、设定年检收费项目的依据、规定年检项目收费标准的依据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8</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通过年检的证明或者标志：无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有无年报要求：无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年报报送材料名称：无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设定年报要求的依据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年报周期：无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highlight w:val="none"/>
          <w:lang w:val="en-US" w:eastAsia="zh-CN"/>
        </w:rPr>
      </w:pPr>
      <w:r>
        <w:rPr>
          <w:rFonts w:hint="eastAsia" w:ascii="方正黑体_GBK" w:hAnsi="方正黑体_GBK" w:eastAsia="方正黑体_GBK" w:cs="方正黑体_GBK"/>
          <w:b w:val="0"/>
          <w:bCs w:val="0"/>
          <w:strike w:val="0"/>
          <w:dstrike w:val="0"/>
          <w:color w:val="auto"/>
          <w:spacing w:val="0"/>
          <w:sz w:val="32"/>
          <w:szCs w:val="32"/>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地方金融监督管理部门</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highlight w:val="none"/>
          <w:lang w:val="en-US" w:eastAsia="zh-CN"/>
        </w:rPr>
      </w:pPr>
      <w:r>
        <w:rPr>
          <w:rFonts w:hint="eastAsia" w:ascii="方正黑体_GBK" w:hAnsi="方正黑体_GBK" w:eastAsia="方正黑体_GBK" w:cs="方正黑体_GBK"/>
          <w:b w:val="0"/>
          <w:bCs w:val="0"/>
          <w:strike w:val="0"/>
          <w:dstrike w:val="0"/>
          <w:color w:val="auto"/>
          <w:spacing w:val="0"/>
          <w:sz w:val="32"/>
          <w:szCs w:val="32"/>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outlineLvl w:val="1"/>
        <w:rPr>
          <w:rFonts w:hint="default" w:ascii="Times New Roman" w:hAnsi="Times New Roman" w:eastAsia="方正仿宋_GBK" w:cs="Times New Roman"/>
          <w:b w:val="0"/>
          <w:bCs w:val="0"/>
          <w:strike w:val="0"/>
          <w:dstrike w:val="0"/>
          <w:color w:val="auto"/>
          <w:spacing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outlineLvl w:val="1"/>
        <w:rPr>
          <w:rFonts w:hint="default" w:ascii="Times New Roman" w:hAnsi="Times New Roman" w:eastAsia="方正仿宋_GBK" w:cs="Times New Roman"/>
          <w:b w:val="0"/>
          <w:bCs w:val="0"/>
          <w:strike w:val="0"/>
          <w:dstrike w:val="0"/>
          <w:color w:val="auto"/>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b w:val="0"/>
          <w:bCs w:val="0"/>
          <w:spacing w:val="0"/>
          <w:sz w:val="32"/>
          <w:szCs w:val="32"/>
        </w:rPr>
      </w:pPr>
      <w:bookmarkStart w:id="0" w:name="_GoBack"/>
      <w:bookmarkEnd w:id="0"/>
    </w:p>
    <w:sectPr>
      <w:footerReference r:id="rId3" w:type="default"/>
      <w:footerReference r:id="rId4" w:type="even"/>
      <w:pgSz w:w="11906" w:h="16838"/>
      <w:pgMar w:top="2041" w:right="1474" w:bottom="1304" w:left="1587" w:header="1361" w:footer="1191"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20B0300000000000000"/>
    <w:charset w:val="86"/>
    <w:family w:val="auto"/>
    <w:pitch w:val="default"/>
    <w:sig w:usb0="00000001" w:usb1="080F1810" w:usb2="00000016" w:usb3="00000000" w:csb0="00060007"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posOffset>4822190</wp:posOffset>
              </wp:positionH>
              <wp:positionV relativeFrom="paragraph">
                <wp:posOffset>0</wp:posOffset>
              </wp:positionV>
              <wp:extent cx="79438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4385"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9.7pt;margin-top:0pt;height:144pt;width:62.55pt;mso-position-horizontal-relative:margin;z-index:251658240;mso-width-relative:page;mso-height-relative:page;" filled="f" stroked="f" coordsize="21600,21600" o:gfxdata="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BXeVlp1wAAAAgB&#10;AAAPAAAAAAAAAAEAIAAAACIAAABkcnMvZG93bnJldi54bWxQSwECFAAUAAAACACHTuJA7lFwi8cC&#10;AADXBQAADgAAAAAAAAABACAAAAAmAQAAZHJzL2Uyb0RvYy54bWxQSwUGAAAAAAYABgBZAQAAXwYA&#10;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ind w:firstLine="268" w:firstLineChars="1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3"/>
                      <w:ind w:firstLine="268" w:firstLineChars="1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FF528C"/>
    <w:rsid w:val="004B5E1C"/>
    <w:rsid w:val="00B138BF"/>
    <w:rsid w:val="015216AC"/>
    <w:rsid w:val="01A76437"/>
    <w:rsid w:val="01AE6076"/>
    <w:rsid w:val="01C27A38"/>
    <w:rsid w:val="02281D65"/>
    <w:rsid w:val="027A3DFB"/>
    <w:rsid w:val="02D50C5B"/>
    <w:rsid w:val="035837C4"/>
    <w:rsid w:val="039F7328"/>
    <w:rsid w:val="03E631BD"/>
    <w:rsid w:val="040C6086"/>
    <w:rsid w:val="04556877"/>
    <w:rsid w:val="04795516"/>
    <w:rsid w:val="04C552C5"/>
    <w:rsid w:val="04F627D2"/>
    <w:rsid w:val="05456576"/>
    <w:rsid w:val="058065CB"/>
    <w:rsid w:val="05840721"/>
    <w:rsid w:val="068841D5"/>
    <w:rsid w:val="06B11277"/>
    <w:rsid w:val="06D73203"/>
    <w:rsid w:val="06DE781A"/>
    <w:rsid w:val="06F533CB"/>
    <w:rsid w:val="072913C2"/>
    <w:rsid w:val="0744779F"/>
    <w:rsid w:val="07620446"/>
    <w:rsid w:val="077865E5"/>
    <w:rsid w:val="07C941D0"/>
    <w:rsid w:val="07D45E01"/>
    <w:rsid w:val="080327A3"/>
    <w:rsid w:val="081B1948"/>
    <w:rsid w:val="0831383A"/>
    <w:rsid w:val="08FC4F91"/>
    <w:rsid w:val="09646A84"/>
    <w:rsid w:val="098860EE"/>
    <w:rsid w:val="09A4380A"/>
    <w:rsid w:val="09B85FB2"/>
    <w:rsid w:val="09DA19E3"/>
    <w:rsid w:val="09ED33F1"/>
    <w:rsid w:val="0A025C40"/>
    <w:rsid w:val="0A261D3A"/>
    <w:rsid w:val="0A673F13"/>
    <w:rsid w:val="0A6D236D"/>
    <w:rsid w:val="0AA261A1"/>
    <w:rsid w:val="0AC710B5"/>
    <w:rsid w:val="0AF07C34"/>
    <w:rsid w:val="0B393A6A"/>
    <w:rsid w:val="0B3E74BB"/>
    <w:rsid w:val="0B953430"/>
    <w:rsid w:val="0BFF0C6D"/>
    <w:rsid w:val="0C212241"/>
    <w:rsid w:val="0C8353A5"/>
    <w:rsid w:val="0EA67167"/>
    <w:rsid w:val="0ED76FBD"/>
    <w:rsid w:val="0F7B1DEE"/>
    <w:rsid w:val="101E35B2"/>
    <w:rsid w:val="10352DAD"/>
    <w:rsid w:val="107C2F1B"/>
    <w:rsid w:val="10A22B4B"/>
    <w:rsid w:val="10DF049B"/>
    <w:rsid w:val="10FE2552"/>
    <w:rsid w:val="111D732E"/>
    <w:rsid w:val="117C1AA3"/>
    <w:rsid w:val="11A733E2"/>
    <w:rsid w:val="11C67C14"/>
    <w:rsid w:val="11DD307A"/>
    <w:rsid w:val="11EB43AA"/>
    <w:rsid w:val="12135974"/>
    <w:rsid w:val="124B388B"/>
    <w:rsid w:val="12F14BF2"/>
    <w:rsid w:val="13083B93"/>
    <w:rsid w:val="132D6F0E"/>
    <w:rsid w:val="132E1F20"/>
    <w:rsid w:val="133C5311"/>
    <w:rsid w:val="13932C80"/>
    <w:rsid w:val="13BB2EF8"/>
    <w:rsid w:val="13C913D1"/>
    <w:rsid w:val="13E12F5D"/>
    <w:rsid w:val="14B331EA"/>
    <w:rsid w:val="14D8552F"/>
    <w:rsid w:val="14F06671"/>
    <w:rsid w:val="15056B91"/>
    <w:rsid w:val="15275201"/>
    <w:rsid w:val="15277006"/>
    <w:rsid w:val="15287711"/>
    <w:rsid w:val="15D95464"/>
    <w:rsid w:val="15ED62C8"/>
    <w:rsid w:val="16152B63"/>
    <w:rsid w:val="16433A9B"/>
    <w:rsid w:val="167C5DBC"/>
    <w:rsid w:val="167F3AC2"/>
    <w:rsid w:val="16E846B6"/>
    <w:rsid w:val="17695E74"/>
    <w:rsid w:val="18B56585"/>
    <w:rsid w:val="18D807F6"/>
    <w:rsid w:val="18E27E2C"/>
    <w:rsid w:val="18EA673F"/>
    <w:rsid w:val="192F3D7B"/>
    <w:rsid w:val="19466A53"/>
    <w:rsid w:val="19636CF3"/>
    <w:rsid w:val="1976420D"/>
    <w:rsid w:val="198F39F9"/>
    <w:rsid w:val="1A162E43"/>
    <w:rsid w:val="1A197B5F"/>
    <w:rsid w:val="1A4C1167"/>
    <w:rsid w:val="1A874CEA"/>
    <w:rsid w:val="1AF35213"/>
    <w:rsid w:val="1AFF677F"/>
    <w:rsid w:val="1B0169EF"/>
    <w:rsid w:val="1B081B3C"/>
    <w:rsid w:val="1B88535B"/>
    <w:rsid w:val="1B921654"/>
    <w:rsid w:val="1BDE616A"/>
    <w:rsid w:val="1C2A466D"/>
    <w:rsid w:val="1CE7708C"/>
    <w:rsid w:val="1D487F88"/>
    <w:rsid w:val="1D8F5B58"/>
    <w:rsid w:val="1DFE0151"/>
    <w:rsid w:val="1E5C0C50"/>
    <w:rsid w:val="1E967A50"/>
    <w:rsid w:val="1F1D24D9"/>
    <w:rsid w:val="1F2712C8"/>
    <w:rsid w:val="1F8F03DF"/>
    <w:rsid w:val="1FE5775F"/>
    <w:rsid w:val="1FE74C45"/>
    <w:rsid w:val="20015069"/>
    <w:rsid w:val="2042444F"/>
    <w:rsid w:val="20C3362D"/>
    <w:rsid w:val="21156D85"/>
    <w:rsid w:val="212E62B6"/>
    <w:rsid w:val="218137BB"/>
    <w:rsid w:val="21FB547A"/>
    <w:rsid w:val="22036081"/>
    <w:rsid w:val="220E1CDE"/>
    <w:rsid w:val="220E23E6"/>
    <w:rsid w:val="22BB49E1"/>
    <w:rsid w:val="22C65D69"/>
    <w:rsid w:val="22EA7510"/>
    <w:rsid w:val="236A56DF"/>
    <w:rsid w:val="23B704C1"/>
    <w:rsid w:val="242A7B9F"/>
    <w:rsid w:val="24694AC3"/>
    <w:rsid w:val="252E4F91"/>
    <w:rsid w:val="255D0151"/>
    <w:rsid w:val="25B32AD4"/>
    <w:rsid w:val="25D47427"/>
    <w:rsid w:val="25FF528C"/>
    <w:rsid w:val="260B3BA9"/>
    <w:rsid w:val="26347CBB"/>
    <w:rsid w:val="26DA0D98"/>
    <w:rsid w:val="279832D0"/>
    <w:rsid w:val="27FA5453"/>
    <w:rsid w:val="28287D42"/>
    <w:rsid w:val="283664B0"/>
    <w:rsid w:val="2868756F"/>
    <w:rsid w:val="28BB282E"/>
    <w:rsid w:val="28BE5079"/>
    <w:rsid w:val="29924F5A"/>
    <w:rsid w:val="29C45F9F"/>
    <w:rsid w:val="29F32524"/>
    <w:rsid w:val="2A134A0D"/>
    <w:rsid w:val="2A40562A"/>
    <w:rsid w:val="2A9770D5"/>
    <w:rsid w:val="2B232017"/>
    <w:rsid w:val="2B4331EB"/>
    <w:rsid w:val="2B93142B"/>
    <w:rsid w:val="2C1D7734"/>
    <w:rsid w:val="2C483605"/>
    <w:rsid w:val="2CA17001"/>
    <w:rsid w:val="2CD51266"/>
    <w:rsid w:val="2CE54C20"/>
    <w:rsid w:val="2D0A578A"/>
    <w:rsid w:val="2D0C53C9"/>
    <w:rsid w:val="2D513A48"/>
    <w:rsid w:val="2E751390"/>
    <w:rsid w:val="2EBF6DE7"/>
    <w:rsid w:val="2F754D49"/>
    <w:rsid w:val="2F8A43EB"/>
    <w:rsid w:val="2FB26AEE"/>
    <w:rsid w:val="2FBE0359"/>
    <w:rsid w:val="300B4A7E"/>
    <w:rsid w:val="3057454E"/>
    <w:rsid w:val="30AB4459"/>
    <w:rsid w:val="30CD400E"/>
    <w:rsid w:val="30F34FCD"/>
    <w:rsid w:val="3112451A"/>
    <w:rsid w:val="31411050"/>
    <w:rsid w:val="31576ECD"/>
    <w:rsid w:val="31881EC1"/>
    <w:rsid w:val="31BE20ED"/>
    <w:rsid w:val="31C841A4"/>
    <w:rsid w:val="31E7725E"/>
    <w:rsid w:val="31F15F7B"/>
    <w:rsid w:val="321A12D4"/>
    <w:rsid w:val="328645F2"/>
    <w:rsid w:val="32A76149"/>
    <w:rsid w:val="32D60F11"/>
    <w:rsid w:val="33140975"/>
    <w:rsid w:val="331818C8"/>
    <w:rsid w:val="33637DFD"/>
    <w:rsid w:val="338903E6"/>
    <w:rsid w:val="33984E3B"/>
    <w:rsid w:val="33BB1C71"/>
    <w:rsid w:val="34037D07"/>
    <w:rsid w:val="34B932F1"/>
    <w:rsid w:val="35C4223B"/>
    <w:rsid w:val="361709CE"/>
    <w:rsid w:val="36230C29"/>
    <w:rsid w:val="362A5861"/>
    <w:rsid w:val="36332961"/>
    <w:rsid w:val="36FC627F"/>
    <w:rsid w:val="375A5D15"/>
    <w:rsid w:val="376803D9"/>
    <w:rsid w:val="379C35F5"/>
    <w:rsid w:val="37E14C98"/>
    <w:rsid w:val="37FA7844"/>
    <w:rsid w:val="389C48C8"/>
    <w:rsid w:val="38B20CA8"/>
    <w:rsid w:val="390954DA"/>
    <w:rsid w:val="396B3247"/>
    <w:rsid w:val="39713FFD"/>
    <w:rsid w:val="39995757"/>
    <w:rsid w:val="3A1D78F5"/>
    <w:rsid w:val="3A52272C"/>
    <w:rsid w:val="3AD7213A"/>
    <w:rsid w:val="3B13662F"/>
    <w:rsid w:val="3B28253A"/>
    <w:rsid w:val="3B2A6110"/>
    <w:rsid w:val="3BD44180"/>
    <w:rsid w:val="3C1C449B"/>
    <w:rsid w:val="3CC83F88"/>
    <w:rsid w:val="3CFC5412"/>
    <w:rsid w:val="3D6A491A"/>
    <w:rsid w:val="3D6E7C4B"/>
    <w:rsid w:val="3D723D39"/>
    <w:rsid w:val="3DF97496"/>
    <w:rsid w:val="3E7C0923"/>
    <w:rsid w:val="3E98101E"/>
    <w:rsid w:val="3EBA79DD"/>
    <w:rsid w:val="3F3156BC"/>
    <w:rsid w:val="3FC85AB8"/>
    <w:rsid w:val="3FDE00A0"/>
    <w:rsid w:val="40173FC4"/>
    <w:rsid w:val="4020399B"/>
    <w:rsid w:val="40750EA1"/>
    <w:rsid w:val="40B00F35"/>
    <w:rsid w:val="40B7773C"/>
    <w:rsid w:val="41484C99"/>
    <w:rsid w:val="416B77D5"/>
    <w:rsid w:val="41836A94"/>
    <w:rsid w:val="418A6BF4"/>
    <w:rsid w:val="41A134B1"/>
    <w:rsid w:val="41A451D7"/>
    <w:rsid w:val="42113B52"/>
    <w:rsid w:val="425C2D10"/>
    <w:rsid w:val="426C4CFF"/>
    <w:rsid w:val="42BF6FEC"/>
    <w:rsid w:val="42C67863"/>
    <w:rsid w:val="42DC7FEA"/>
    <w:rsid w:val="42E31A34"/>
    <w:rsid w:val="42F40D8E"/>
    <w:rsid w:val="4345306B"/>
    <w:rsid w:val="43490D63"/>
    <w:rsid w:val="43550CA3"/>
    <w:rsid w:val="43551836"/>
    <w:rsid w:val="438032F6"/>
    <w:rsid w:val="43BF7A81"/>
    <w:rsid w:val="43C03B0A"/>
    <w:rsid w:val="448213D4"/>
    <w:rsid w:val="44936D54"/>
    <w:rsid w:val="460375D5"/>
    <w:rsid w:val="460E7854"/>
    <w:rsid w:val="46280446"/>
    <w:rsid w:val="462E0BEB"/>
    <w:rsid w:val="464263EA"/>
    <w:rsid w:val="46441454"/>
    <w:rsid w:val="46580BE5"/>
    <w:rsid w:val="46865444"/>
    <w:rsid w:val="469420C6"/>
    <w:rsid w:val="4695670B"/>
    <w:rsid w:val="46E750AE"/>
    <w:rsid w:val="47C91252"/>
    <w:rsid w:val="47E573C8"/>
    <w:rsid w:val="486B7ACC"/>
    <w:rsid w:val="487E68B0"/>
    <w:rsid w:val="48A626AF"/>
    <w:rsid w:val="48D6413B"/>
    <w:rsid w:val="48F40CC1"/>
    <w:rsid w:val="491A1509"/>
    <w:rsid w:val="49270A98"/>
    <w:rsid w:val="49494C56"/>
    <w:rsid w:val="494D4347"/>
    <w:rsid w:val="49775975"/>
    <w:rsid w:val="4990670B"/>
    <w:rsid w:val="49D201C7"/>
    <w:rsid w:val="49DE627B"/>
    <w:rsid w:val="49F02299"/>
    <w:rsid w:val="4B21454B"/>
    <w:rsid w:val="4B313452"/>
    <w:rsid w:val="4B6A2202"/>
    <w:rsid w:val="4B6F30CF"/>
    <w:rsid w:val="4BBF42D5"/>
    <w:rsid w:val="4BD562EF"/>
    <w:rsid w:val="4CDF6212"/>
    <w:rsid w:val="4D1466DE"/>
    <w:rsid w:val="4D793256"/>
    <w:rsid w:val="4D7938FE"/>
    <w:rsid w:val="4DA66C93"/>
    <w:rsid w:val="4DB51D42"/>
    <w:rsid w:val="4E73388F"/>
    <w:rsid w:val="4E9C62CE"/>
    <w:rsid w:val="4EBD59D3"/>
    <w:rsid w:val="4EC44343"/>
    <w:rsid w:val="4EEF4F7A"/>
    <w:rsid w:val="4F660AB8"/>
    <w:rsid w:val="4FA52CB1"/>
    <w:rsid w:val="508C4A57"/>
    <w:rsid w:val="50925E20"/>
    <w:rsid w:val="50987B39"/>
    <w:rsid w:val="50E92E62"/>
    <w:rsid w:val="50F57D2F"/>
    <w:rsid w:val="51365D1A"/>
    <w:rsid w:val="51442856"/>
    <w:rsid w:val="5152037D"/>
    <w:rsid w:val="51566698"/>
    <w:rsid w:val="51606651"/>
    <w:rsid w:val="51610C8D"/>
    <w:rsid w:val="526526D1"/>
    <w:rsid w:val="53674A7E"/>
    <w:rsid w:val="53B77A62"/>
    <w:rsid w:val="540F362F"/>
    <w:rsid w:val="54176279"/>
    <w:rsid w:val="542942A5"/>
    <w:rsid w:val="542C2B29"/>
    <w:rsid w:val="549038FA"/>
    <w:rsid w:val="54F91A26"/>
    <w:rsid w:val="5561256D"/>
    <w:rsid w:val="559441F2"/>
    <w:rsid w:val="566E4F9D"/>
    <w:rsid w:val="568036C4"/>
    <w:rsid w:val="56A72496"/>
    <w:rsid w:val="56D10ADB"/>
    <w:rsid w:val="57474D42"/>
    <w:rsid w:val="57D161D0"/>
    <w:rsid w:val="57D83471"/>
    <w:rsid w:val="57ED3CC9"/>
    <w:rsid w:val="581A467F"/>
    <w:rsid w:val="581C070F"/>
    <w:rsid w:val="58CF005D"/>
    <w:rsid w:val="58DB068F"/>
    <w:rsid w:val="58E91226"/>
    <w:rsid w:val="58EB27B1"/>
    <w:rsid w:val="58F12B6F"/>
    <w:rsid w:val="5937007A"/>
    <w:rsid w:val="59380CF5"/>
    <w:rsid w:val="59393A54"/>
    <w:rsid w:val="59557EE6"/>
    <w:rsid w:val="597F2DC8"/>
    <w:rsid w:val="59B634D2"/>
    <w:rsid w:val="59C27331"/>
    <w:rsid w:val="5A2177BE"/>
    <w:rsid w:val="5A927F4C"/>
    <w:rsid w:val="5ABF570D"/>
    <w:rsid w:val="5B314057"/>
    <w:rsid w:val="5BDE7769"/>
    <w:rsid w:val="5BE205D5"/>
    <w:rsid w:val="5BE9353F"/>
    <w:rsid w:val="5BEB2712"/>
    <w:rsid w:val="5C074BE5"/>
    <w:rsid w:val="5C88600F"/>
    <w:rsid w:val="5C9F59E4"/>
    <w:rsid w:val="5CA975F9"/>
    <w:rsid w:val="5CB707A4"/>
    <w:rsid w:val="5D0D42A3"/>
    <w:rsid w:val="5D1E14EC"/>
    <w:rsid w:val="5D6F0970"/>
    <w:rsid w:val="5D7561B6"/>
    <w:rsid w:val="5DB5560D"/>
    <w:rsid w:val="5E110FDA"/>
    <w:rsid w:val="5E115CC0"/>
    <w:rsid w:val="5E860EF8"/>
    <w:rsid w:val="5F221298"/>
    <w:rsid w:val="5F226697"/>
    <w:rsid w:val="5F66108B"/>
    <w:rsid w:val="5F670520"/>
    <w:rsid w:val="5F6F4F75"/>
    <w:rsid w:val="5F8F7405"/>
    <w:rsid w:val="5FBD70A6"/>
    <w:rsid w:val="5FC1661B"/>
    <w:rsid w:val="5FCD74A4"/>
    <w:rsid w:val="5FD763ED"/>
    <w:rsid w:val="5FF01336"/>
    <w:rsid w:val="606F313B"/>
    <w:rsid w:val="60AE2140"/>
    <w:rsid w:val="60D372D6"/>
    <w:rsid w:val="60E702DC"/>
    <w:rsid w:val="613A4AC6"/>
    <w:rsid w:val="61AA42FD"/>
    <w:rsid w:val="61C4373C"/>
    <w:rsid w:val="61C635D5"/>
    <w:rsid w:val="61C66379"/>
    <w:rsid w:val="62606913"/>
    <w:rsid w:val="62826960"/>
    <w:rsid w:val="62AE4B13"/>
    <w:rsid w:val="631407D3"/>
    <w:rsid w:val="6351227B"/>
    <w:rsid w:val="635C7466"/>
    <w:rsid w:val="64CA67E4"/>
    <w:rsid w:val="64F150EE"/>
    <w:rsid w:val="65015210"/>
    <w:rsid w:val="65122497"/>
    <w:rsid w:val="651E272C"/>
    <w:rsid w:val="653210CF"/>
    <w:rsid w:val="65877F62"/>
    <w:rsid w:val="65D47254"/>
    <w:rsid w:val="65EB7093"/>
    <w:rsid w:val="66334544"/>
    <w:rsid w:val="665C1804"/>
    <w:rsid w:val="665D131E"/>
    <w:rsid w:val="66D50718"/>
    <w:rsid w:val="66F75609"/>
    <w:rsid w:val="6724175C"/>
    <w:rsid w:val="67610E7B"/>
    <w:rsid w:val="678B75AA"/>
    <w:rsid w:val="67A67F7E"/>
    <w:rsid w:val="67AC0A3E"/>
    <w:rsid w:val="67AE71AD"/>
    <w:rsid w:val="67B45C5B"/>
    <w:rsid w:val="67C23629"/>
    <w:rsid w:val="67E32EDD"/>
    <w:rsid w:val="67EA0250"/>
    <w:rsid w:val="683C5BCE"/>
    <w:rsid w:val="68A845AC"/>
    <w:rsid w:val="69193DA8"/>
    <w:rsid w:val="694A2DEA"/>
    <w:rsid w:val="69A310CC"/>
    <w:rsid w:val="69A450AC"/>
    <w:rsid w:val="69BF7E7D"/>
    <w:rsid w:val="69F7751C"/>
    <w:rsid w:val="6A2532DD"/>
    <w:rsid w:val="6A6B6962"/>
    <w:rsid w:val="6A78465A"/>
    <w:rsid w:val="6A7F7B50"/>
    <w:rsid w:val="6AC61A80"/>
    <w:rsid w:val="6B22791A"/>
    <w:rsid w:val="6B384965"/>
    <w:rsid w:val="6B773C29"/>
    <w:rsid w:val="6C2448C7"/>
    <w:rsid w:val="6C7C07E6"/>
    <w:rsid w:val="6C826EB7"/>
    <w:rsid w:val="6CB433D0"/>
    <w:rsid w:val="6CDE2C2D"/>
    <w:rsid w:val="6D353395"/>
    <w:rsid w:val="6D4250E9"/>
    <w:rsid w:val="6D8367FE"/>
    <w:rsid w:val="6DE421C8"/>
    <w:rsid w:val="6F290C76"/>
    <w:rsid w:val="701D4A7E"/>
    <w:rsid w:val="70207B3B"/>
    <w:rsid w:val="702931E8"/>
    <w:rsid w:val="714E4309"/>
    <w:rsid w:val="71667B8A"/>
    <w:rsid w:val="71805E52"/>
    <w:rsid w:val="71BE4DBC"/>
    <w:rsid w:val="71D3687B"/>
    <w:rsid w:val="72042DE2"/>
    <w:rsid w:val="720B68A8"/>
    <w:rsid w:val="720F484B"/>
    <w:rsid w:val="721E74FE"/>
    <w:rsid w:val="725568B5"/>
    <w:rsid w:val="727319B4"/>
    <w:rsid w:val="72774E68"/>
    <w:rsid w:val="72A7565F"/>
    <w:rsid w:val="732D04BB"/>
    <w:rsid w:val="73743466"/>
    <w:rsid w:val="737D64D9"/>
    <w:rsid w:val="747832FC"/>
    <w:rsid w:val="74A2579E"/>
    <w:rsid w:val="74FB1280"/>
    <w:rsid w:val="75085BA2"/>
    <w:rsid w:val="75360D0A"/>
    <w:rsid w:val="757524EB"/>
    <w:rsid w:val="75AD2811"/>
    <w:rsid w:val="75F1108C"/>
    <w:rsid w:val="766926DB"/>
    <w:rsid w:val="76C52CB5"/>
    <w:rsid w:val="76D259BC"/>
    <w:rsid w:val="76D539CF"/>
    <w:rsid w:val="77502A10"/>
    <w:rsid w:val="77B72660"/>
    <w:rsid w:val="78853AA5"/>
    <w:rsid w:val="78944F38"/>
    <w:rsid w:val="78BF541D"/>
    <w:rsid w:val="794774A7"/>
    <w:rsid w:val="795D4201"/>
    <w:rsid w:val="79B5411E"/>
    <w:rsid w:val="79BC4A5C"/>
    <w:rsid w:val="79D8211D"/>
    <w:rsid w:val="79F41586"/>
    <w:rsid w:val="79FC278E"/>
    <w:rsid w:val="7A144C30"/>
    <w:rsid w:val="7A350BB3"/>
    <w:rsid w:val="7A6609C5"/>
    <w:rsid w:val="7A942BF5"/>
    <w:rsid w:val="7A9B15A1"/>
    <w:rsid w:val="7B054105"/>
    <w:rsid w:val="7B4451D3"/>
    <w:rsid w:val="7B54624E"/>
    <w:rsid w:val="7B705F10"/>
    <w:rsid w:val="7B765FB2"/>
    <w:rsid w:val="7BC92573"/>
    <w:rsid w:val="7BCA3B4D"/>
    <w:rsid w:val="7BE40DC7"/>
    <w:rsid w:val="7BFD3D32"/>
    <w:rsid w:val="7C046F2C"/>
    <w:rsid w:val="7C082E1F"/>
    <w:rsid w:val="7C201541"/>
    <w:rsid w:val="7C660A18"/>
    <w:rsid w:val="7C877047"/>
    <w:rsid w:val="7D212B41"/>
    <w:rsid w:val="7D533B6F"/>
    <w:rsid w:val="7D675349"/>
    <w:rsid w:val="7D993636"/>
    <w:rsid w:val="7DD8049D"/>
    <w:rsid w:val="7E2B0BAF"/>
    <w:rsid w:val="7E330F3B"/>
    <w:rsid w:val="7E4B75F7"/>
    <w:rsid w:val="7ED8413E"/>
    <w:rsid w:val="7F0717B1"/>
    <w:rsid w:val="7FAA1337"/>
    <w:rsid w:val="7FB44EF7"/>
    <w:rsid w:val="7FB80BEC"/>
    <w:rsid w:val="7FF01277"/>
    <w:rsid w:val="BAEF232E"/>
    <w:rsid w:val="D89AA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ascii="宋体" w:hAnsi="宋体"/>
      <w:sz w:val="28"/>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云南省林业厅</Company>
  <Pages>1</Pages>
  <Words>0</Words>
  <Characters>0</Characters>
  <Lines>0</Lines>
  <Paragraphs>0</Paragraphs>
  <TotalTime>8</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2023-08-08T02:42:00Z</dcterms:created>
  <dc:creator>张雯</dc:creator>
  <cp:lastModifiedBy>Administrator</cp:lastModifiedBy>
  <cp:lastPrinted>2023-09-06T08:29:32Z</cp:lastPrinted>
  <dcterms:modified xsi:type="dcterms:W3CDTF">2023-09-06T08:29:35Z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