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年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调查研究工作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计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划</w:t>
      </w:r>
    </w:p>
    <w:p>
      <w:pPr>
        <w:shd w:val="clear" w:color="auto" w:fill="auto"/>
        <w:jc w:val="both"/>
        <w:rPr>
          <w:rFonts w:hint="default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lang w:val="en-US" w:eastAsia="zh-CN"/>
        </w:rPr>
        <w:t>单位（盖章）玉溪市文化和旅游局             领导签字： 梁玉浩          时间：2023 年6月20日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3797"/>
        <w:gridCol w:w="1453"/>
        <w:gridCol w:w="1309"/>
        <w:gridCol w:w="1459"/>
        <w:gridCol w:w="1336"/>
        <w:gridCol w:w="2328"/>
        <w:gridCol w:w="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379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both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44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调研内容（调研课题）</w:t>
            </w: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责任领导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参与调研人数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0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kern w:val="44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调研地点（领域）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调研时间（天）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调研成果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国家工业遗产易门铜矿保护活化利用的思考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梁玉浩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易门县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140" w:firstLineChars="5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通海历史文化名城沉浸式旅游示范区打造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陈泰敏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通海县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关于“三湖”旅游发展的调研报告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王洪卫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澄江市、通海县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玉溪国有文艺院团改革调研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杨建兰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全市文化院团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发展乡村旅游助力乡村振兴情况调研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杨耀芬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围绕“三办三服”提高政务服务质量的调研报告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</w:rPr>
              <w:t>杨建兰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玉溪市“十四五”文化和旅游发展规划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及专项规划中期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实施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情况调研报告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王洪卫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玉溪市文旅融合新业态培育研究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王洪卫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加强资金规范化使用及监管的调研报告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徐国坤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做好玉溪市旅游高质量统计的调研报告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徐国坤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玉溪市非遗保护活化利用调研报告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杨耀芬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玉溪市公共文化服务提质增效调研报告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杨耀芬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红色旅游品牌打造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和线路策划调研报告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杨耀芬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加快全市A级景区品质提升的调研报告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杨耀芬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加快全市“文化润景”的调研报告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eastAsia="zh-CN"/>
              </w:rPr>
              <w:t>陈泰敏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玉溪市旅游市场主体培育调研报告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徐国坤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加强全市旅游市场秩序整治和提升旅游服务质量的调研报告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徐国坤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8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玉溪市加快假日旅游经济发展的调研报告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徐国坤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玉溪市旅游行业协会纽带作用发挥的调研报告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0" w:firstLineChars="1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徐国坤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如何发挥文旅行业党建引领作用的调研报告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陈泰敏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玉溪市艺术人才工作调研报告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梁玉浩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加强全市文旅人才培训提高队伍综合素质的调研报告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徐国坤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打造城市音乐IP推动玉溪“音乐之都”建设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调研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杨建兰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  <w:t>提高玉溪文旅知名度影响力的研究报告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杨建兰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加快提升全市文旅行政执法能力的调研报告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张庆生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推动非遗工坊建设助力乡村振兴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侯  庆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提高玉溪市文博博物展览展陈水平的调研报告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王  溪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加快推进“书香玉溪”建设打造全民阅读的调研报告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罗启元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加强玉溪滇剧保护传承发展的研究报告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冯咏梅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滇剧团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加强玉溪花灯保护传承发展的研究报告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矣  </w:t>
            </w:r>
            <w:bookmarkStart w:id="0" w:name="_GoBack"/>
            <w:bookmarkEnd w:id="0"/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露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花灯团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推出玉溪市更多增强人民精神力量作品的研究报告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杨建兰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加快玉溪文物活起来的研究报告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李洪海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加快培育和打造玉溪旅游演艺市场的研究报告</w:t>
            </w:r>
          </w:p>
        </w:tc>
        <w:tc>
          <w:tcPr>
            <w:tcW w:w="14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8"/>
                <w:szCs w:val="28"/>
                <w:vertAlign w:val="baseline"/>
                <w:lang w:val="en-US" w:eastAsia="zh-CN"/>
              </w:rPr>
              <w:t>黄庆明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玉溪市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180天</w:t>
            </w:r>
          </w:p>
        </w:tc>
        <w:tc>
          <w:tcPr>
            <w:tcW w:w="232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以调研报告形式提交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79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0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336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2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FE3189"/>
    <w:rsid w:val="19740E17"/>
    <w:rsid w:val="6FFCB140"/>
    <w:rsid w:val="77FE3189"/>
    <w:rsid w:val="7CF603E5"/>
    <w:rsid w:val="7FFED0E2"/>
    <w:rsid w:val="F6F54C20"/>
    <w:rsid w:val="F7BF9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2023-06-16T10:05:00Z</dcterms:created>
  <dc:creator>user</dc:creator>
  <cp:lastModifiedBy>user</cp:lastModifiedBy>
  <dcterms:modified xsi:type="dcterms:W3CDTF">2023-06-26T09:46:19Z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