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F53F64">
      <w:pPr>
        <w:pStyle w:val="6"/>
        <w:spacing w:line="360" w:lineRule="auto"/>
        <w:jc w:val="center"/>
        <w:rPr>
          <w:rFonts w:hint="eastAsia" w:ascii="宋体" w:hAnsi="宋体" w:cs="宋体"/>
          <w:b/>
          <w:sz w:val="72"/>
          <w:szCs w:val="72"/>
        </w:rPr>
      </w:pPr>
      <w:bookmarkStart w:id="0" w:name="_Toc27477"/>
      <w:bookmarkStart w:id="1" w:name="_Toc31213"/>
      <w:r>
        <w:rPr>
          <w:rFonts w:hint="eastAsia" w:ascii="宋体" w:hAnsi="宋体" w:cs="宋体"/>
          <w:b/>
          <w:sz w:val="72"/>
          <w:szCs w:val="72"/>
        </w:rPr>
        <w:t>玉溪市2026年生态环境监测能力提升项目</w:t>
      </w:r>
    </w:p>
    <w:p w14:paraId="34EA546C">
      <w:pPr>
        <w:jc w:val="center"/>
        <w:rPr>
          <w:rFonts w:hint="default" w:eastAsia="宋体"/>
          <w:lang w:val="en-US" w:eastAsia="zh-CN"/>
        </w:rPr>
      </w:pPr>
      <w:r>
        <w:rPr>
          <w:rFonts w:hint="eastAsia" w:ascii="宋体" w:hAnsi="宋体" w:cs="宋体"/>
          <w:b/>
          <w:sz w:val="72"/>
          <w:szCs w:val="72"/>
          <w:lang w:eastAsia="zh-CN"/>
        </w:rPr>
        <w:t>（</w:t>
      </w:r>
      <w:r>
        <w:rPr>
          <w:rFonts w:hint="eastAsia" w:ascii="宋体" w:hAnsi="宋体" w:cs="宋体"/>
          <w:b/>
          <w:sz w:val="72"/>
          <w:szCs w:val="72"/>
          <w:lang w:val="en-US" w:eastAsia="zh-CN"/>
        </w:rPr>
        <w:t>征求意见稿）</w:t>
      </w:r>
    </w:p>
    <w:p w14:paraId="698DD304">
      <w:pPr>
        <w:pStyle w:val="12"/>
        <w:spacing w:line="360" w:lineRule="auto"/>
        <w:rPr>
          <w:rFonts w:hint="eastAsia" w:hAnsi="宋体" w:cs="宋体"/>
          <w:b/>
          <w:sz w:val="84"/>
          <w:szCs w:val="84"/>
        </w:rPr>
      </w:pPr>
    </w:p>
    <w:p w14:paraId="00E52BAE">
      <w:pPr>
        <w:pStyle w:val="12"/>
        <w:spacing w:line="360" w:lineRule="auto"/>
        <w:jc w:val="center"/>
        <w:rPr>
          <w:rFonts w:hint="eastAsia" w:hAnsi="宋体" w:cs="宋体"/>
          <w:b/>
          <w:sz w:val="84"/>
          <w:szCs w:val="84"/>
        </w:rPr>
      </w:pPr>
    </w:p>
    <w:p w14:paraId="72C962E9">
      <w:pPr>
        <w:pStyle w:val="12"/>
        <w:spacing w:line="360" w:lineRule="auto"/>
        <w:jc w:val="center"/>
        <w:rPr>
          <w:rFonts w:hint="eastAsia" w:hAnsi="宋体" w:cs="宋体"/>
          <w:b/>
          <w:sz w:val="84"/>
          <w:szCs w:val="84"/>
        </w:rPr>
      </w:pPr>
    </w:p>
    <w:p w14:paraId="32E48766">
      <w:pPr>
        <w:pStyle w:val="12"/>
        <w:spacing w:line="360" w:lineRule="auto"/>
        <w:jc w:val="center"/>
        <w:rPr>
          <w:rFonts w:hint="eastAsia" w:hAnsi="宋体" w:cs="宋体"/>
          <w:b/>
          <w:sz w:val="84"/>
          <w:szCs w:val="84"/>
        </w:rPr>
      </w:pPr>
      <w:r>
        <w:rPr>
          <w:rFonts w:hint="eastAsia" w:hAnsi="宋体" w:cs="宋体"/>
          <w:b/>
          <w:sz w:val="84"/>
          <w:szCs w:val="84"/>
        </w:rPr>
        <w:t>招 标 文 件</w:t>
      </w:r>
    </w:p>
    <w:p w14:paraId="042B11BA">
      <w:pPr>
        <w:pStyle w:val="12"/>
        <w:spacing w:line="360" w:lineRule="auto"/>
        <w:jc w:val="center"/>
        <w:rPr>
          <w:rFonts w:hint="eastAsia" w:hAnsi="宋体" w:cs="宋体"/>
          <w:b/>
          <w:sz w:val="32"/>
          <w:szCs w:val="32"/>
        </w:rPr>
      </w:pPr>
      <w:r>
        <w:rPr>
          <w:rFonts w:hint="eastAsia" w:hAnsi="宋体" w:cs="宋体"/>
          <w:b/>
          <w:sz w:val="32"/>
          <w:szCs w:val="32"/>
        </w:rPr>
        <w:t xml:space="preserve">项目编号：  </w:t>
      </w:r>
    </w:p>
    <w:p w14:paraId="0353AC7E">
      <w:pPr>
        <w:pStyle w:val="12"/>
        <w:spacing w:line="360" w:lineRule="auto"/>
        <w:rPr>
          <w:rFonts w:hint="eastAsia" w:hAnsi="宋体" w:cs="宋体"/>
          <w:b/>
          <w:sz w:val="24"/>
          <w:szCs w:val="24"/>
        </w:rPr>
      </w:pPr>
    </w:p>
    <w:p w14:paraId="3C0D1FC9">
      <w:pPr>
        <w:spacing w:line="360" w:lineRule="auto"/>
        <w:rPr>
          <w:rFonts w:hint="eastAsia" w:ascii="宋体" w:hAnsi="宋体" w:cs="宋体"/>
          <w:b/>
          <w:sz w:val="24"/>
        </w:rPr>
      </w:pPr>
    </w:p>
    <w:p w14:paraId="5E893CD5">
      <w:pPr>
        <w:pStyle w:val="6"/>
        <w:spacing w:line="360" w:lineRule="auto"/>
        <w:rPr>
          <w:rFonts w:hint="eastAsia" w:ascii="宋体" w:hAnsi="宋体" w:cs="宋体"/>
          <w:sz w:val="24"/>
        </w:rPr>
      </w:pPr>
    </w:p>
    <w:p w14:paraId="51EFADEA">
      <w:pPr>
        <w:spacing w:line="360" w:lineRule="auto"/>
        <w:rPr>
          <w:rFonts w:hint="eastAsia" w:ascii="宋体" w:hAnsi="宋体" w:cs="宋体"/>
          <w:sz w:val="24"/>
        </w:rPr>
      </w:pPr>
    </w:p>
    <w:p w14:paraId="754455F7">
      <w:pPr>
        <w:spacing w:line="360" w:lineRule="auto"/>
        <w:rPr>
          <w:rFonts w:hint="eastAsia" w:ascii="宋体" w:hAnsi="宋体" w:cs="宋体"/>
          <w:sz w:val="24"/>
        </w:rPr>
      </w:pPr>
      <w:bookmarkStart w:id="235" w:name="_GoBack"/>
      <w:bookmarkEnd w:id="235"/>
    </w:p>
    <w:p w14:paraId="59A2CF5A">
      <w:pPr>
        <w:spacing w:line="360" w:lineRule="auto"/>
        <w:rPr>
          <w:rFonts w:hint="eastAsia" w:ascii="宋体" w:hAnsi="宋体" w:cs="宋体"/>
          <w:sz w:val="24"/>
        </w:rPr>
      </w:pPr>
    </w:p>
    <w:p w14:paraId="55F99BD1">
      <w:pPr>
        <w:spacing w:line="360" w:lineRule="auto"/>
        <w:rPr>
          <w:rFonts w:hint="eastAsia" w:ascii="宋体" w:hAnsi="宋体" w:cs="宋体"/>
          <w:sz w:val="24"/>
        </w:rPr>
      </w:pPr>
    </w:p>
    <w:p w14:paraId="63DB7EE2">
      <w:pPr>
        <w:pStyle w:val="12"/>
        <w:spacing w:line="360" w:lineRule="auto"/>
        <w:ind w:left="1050" w:leftChars="500"/>
        <w:rPr>
          <w:rFonts w:hint="eastAsia" w:hAnsi="宋体" w:cs="宋体"/>
          <w:b/>
          <w:spacing w:val="20"/>
          <w:w w:val="95"/>
          <w:sz w:val="32"/>
          <w:szCs w:val="32"/>
        </w:rPr>
      </w:pPr>
      <w:r>
        <w:rPr>
          <w:rFonts w:hint="eastAsia" w:hAnsi="宋体" w:cs="宋体"/>
          <w:b/>
          <w:spacing w:val="20"/>
          <w:w w:val="95"/>
          <w:sz w:val="32"/>
          <w:szCs w:val="32"/>
        </w:rPr>
        <w:t>采   购   人：</w:t>
      </w:r>
      <w:r>
        <w:rPr>
          <w:rFonts w:hAnsi="宋体" w:cs="宋体"/>
          <w:b/>
          <w:spacing w:val="20"/>
          <w:w w:val="95"/>
          <w:sz w:val="32"/>
          <w:szCs w:val="32"/>
        </w:rPr>
        <w:t>玉溪市生态环境局</w:t>
      </w:r>
    </w:p>
    <w:p w14:paraId="769F9BC2">
      <w:pPr>
        <w:pStyle w:val="12"/>
        <w:spacing w:line="360" w:lineRule="auto"/>
        <w:ind w:left="1050" w:leftChars="500"/>
        <w:rPr>
          <w:rFonts w:hint="eastAsia" w:hAnsi="宋体" w:cs="宋体"/>
          <w:b/>
          <w:w w:val="95"/>
          <w:sz w:val="32"/>
          <w:szCs w:val="32"/>
        </w:rPr>
      </w:pPr>
      <w:r>
        <w:rPr>
          <w:rFonts w:hint="eastAsia" w:hAnsi="宋体" w:cs="宋体"/>
          <w:b/>
          <w:w w:val="95"/>
          <w:sz w:val="32"/>
          <w:szCs w:val="32"/>
        </w:rPr>
        <w:t>采购代理机构：</w:t>
      </w:r>
      <w:r>
        <w:rPr>
          <w:rFonts w:hint="eastAsia" w:hAnsi="宋体" w:cs="宋体"/>
          <w:b/>
          <w:spacing w:val="20"/>
          <w:w w:val="95"/>
          <w:sz w:val="32"/>
          <w:szCs w:val="32"/>
        </w:rPr>
        <w:t>云南璟鹏招标咨询有限公司</w:t>
      </w:r>
    </w:p>
    <w:p w14:paraId="642764C0">
      <w:pPr>
        <w:spacing w:line="360" w:lineRule="auto"/>
        <w:rPr>
          <w:rFonts w:hint="eastAsia" w:ascii="宋体" w:hAnsi="宋体" w:cs="宋体"/>
          <w:b/>
          <w:w w:val="95"/>
          <w:sz w:val="32"/>
          <w:szCs w:val="32"/>
        </w:rPr>
      </w:pPr>
      <w:r>
        <w:rPr>
          <w:rFonts w:hint="eastAsia" w:ascii="宋体" w:hAnsi="宋体" w:cs="宋体"/>
          <w:b/>
          <w:w w:val="95"/>
          <w:sz w:val="32"/>
          <w:szCs w:val="32"/>
        </w:rPr>
        <w:t xml:space="preserve">       日       期：2026年9月</w:t>
      </w:r>
    </w:p>
    <w:p w14:paraId="5650FC94">
      <w:pPr>
        <w:spacing w:line="360" w:lineRule="auto"/>
        <w:jc w:val="center"/>
        <w:rPr>
          <w:rFonts w:hint="eastAsia" w:ascii="宋体" w:hAnsi="宋体" w:cs="宋体"/>
          <w:b/>
          <w:w w:val="95"/>
          <w:sz w:val="44"/>
          <w:szCs w:val="44"/>
        </w:rPr>
        <w:sectPr>
          <w:pgSz w:w="11906" w:h="16838"/>
          <w:pgMar w:top="1440" w:right="1800" w:bottom="1440" w:left="1800" w:header="851" w:footer="992" w:gutter="0"/>
          <w:cols w:space="425" w:num="1"/>
          <w:docGrid w:type="lines" w:linePitch="312" w:charSpace="0"/>
        </w:sectPr>
      </w:pPr>
    </w:p>
    <w:p w14:paraId="7BF6AA01">
      <w:pPr>
        <w:spacing w:line="480" w:lineRule="auto"/>
        <w:jc w:val="center"/>
        <w:rPr>
          <w:rFonts w:hint="eastAsia" w:ascii="宋体" w:hAnsi="宋体" w:cs="宋体"/>
          <w:b/>
          <w:w w:val="95"/>
          <w:sz w:val="44"/>
          <w:szCs w:val="44"/>
        </w:rPr>
      </w:pPr>
      <w:r>
        <w:rPr>
          <w:rFonts w:hint="eastAsia" w:ascii="宋体" w:hAnsi="宋体" w:cs="宋体"/>
          <w:b/>
          <w:w w:val="95"/>
          <w:sz w:val="44"/>
          <w:szCs w:val="44"/>
        </w:rPr>
        <w:t>目  录</w:t>
      </w:r>
    </w:p>
    <w:p w14:paraId="40E4EC50">
      <w:pPr>
        <w:spacing w:line="480" w:lineRule="auto"/>
        <w:rPr>
          <w:rFonts w:hint="eastAsia" w:ascii="宋体" w:hAnsi="宋体" w:cs="宋体"/>
          <w:b/>
          <w:w w:val="95"/>
          <w:sz w:val="44"/>
          <w:szCs w:val="44"/>
        </w:rPr>
      </w:pPr>
    </w:p>
    <w:p w14:paraId="294A8DF5">
      <w:pPr>
        <w:pStyle w:val="17"/>
        <w:tabs>
          <w:tab w:val="right" w:leader="dot" w:pos="8306"/>
        </w:tabs>
        <w:spacing w:line="480" w:lineRule="auto"/>
        <w:rPr>
          <w:sz w:val="24"/>
        </w:rPr>
      </w:pPr>
      <w:r>
        <w:rPr>
          <w:rFonts w:hint="eastAsia" w:ascii="宋体" w:hAnsi="宋体" w:cs="宋体"/>
          <w:b/>
          <w:w w:val="95"/>
          <w:sz w:val="24"/>
        </w:rPr>
        <w:fldChar w:fldCharType="begin"/>
      </w:r>
      <w:r>
        <w:rPr>
          <w:rFonts w:hint="eastAsia" w:ascii="宋体" w:hAnsi="宋体" w:cs="宋体"/>
          <w:b/>
          <w:w w:val="95"/>
          <w:sz w:val="24"/>
        </w:rPr>
        <w:instrText xml:space="preserve">TOC \o "1-3" \h \u </w:instrText>
      </w:r>
      <w:r>
        <w:rPr>
          <w:rFonts w:hint="eastAsia" w:ascii="宋体" w:hAnsi="宋体" w:cs="宋体"/>
          <w:b/>
          <w:w w:val="95"/>
          <w:sz w:val="24"/>
        </w:rPr>
        <w:fldChar w:fldCharType="separate"/>
      </w:r>
      <w:r>
        <w:fldChar w:fldCharType="begin"/>
      </w:r>
      <w:r>
        <w:instrText xml:space="preserve"> HYPERLINK \l "_Toc2951" </w:instrText>
      </w:r>
      <w:r>
        <w:fldChar w:fldCharType="separate"/>
      </w:r>
      <w:r>
        <w:rPr>
          <w:rFonts w:hint="eastAsia" w:ascii="宋体" w:hAnsi="宋体" w:cs="宋体"/>
          <w:kern w:val="44"/>
          <w:sz w:val="24"/>
        </w:rPr>
        <w:t xml:space="preserve">第一章  </w:t>
      </w:r>
      <w:r>
        <w:rPr>
          <w:rFonts w:hint="eastAsia" w:ascii="宋体" w:hAnsi="宋体" w:cs="宋体"/>
          <w:sz w:val="24"/>
        </w:rPr>
        <w:t>招标公告</w:t>
      </w:r>
      <w:r>
        <w:rPr>
          <w:sz w:val="24"/>
        </w:rPr>
        <w:tab/>
      </w:r>
      <w:r>
        <w:rPr>
          <w:sz w:val="24"/>
        </w:rPr>
        <w:fldChar w:fldCharType="begin"/>
      </w:r>
      <w:r>
        <w:rPr>
          <w:sz w:val="24"/>
        </w:rPr>
        <w:instrText xml:space="preserve"> PAGEREF _Toc2951 \h </w:instrText>
      </w:r>
      <w:r>
        <w:rPr>
          <w:sz w:val="24"/>
        </w:rPr>
        <w:fldChar w:fldCharType="separate"/>
      </w:r>
      <w:r>
        <w:rPr>
          <w:sz w:val="24"/>
        </w:rPr>
        <w:t>1</w:t>
      </w:r>
      <w:r>
        <w:rPr>
          <w:sz w:val="24"/>
        </w:rPr>
        <w:fldChar w:fldCharType="end"/>
      </w:r>
      <w:r>
        <w:rPr>
          <w:sz w:val="24"/>
        </w:rPr>
        <w:fldChar w:fldCharType="end"/>
      </w:r>
    </w:p>
    <w:p w14:paraId="2C34C220">
      <w:pPr>
        <w:pStyle w:val="17"/>
        <w:tabs>
          <w:tab w:val="right" w:leader="dot" w:pos="8306"/>
        </w:tabs>
        <w:spacing w:line="480" w:lineRule="auto"/>
        <w:rPr>
          <w:sz w:val="24"/>
        </w:rPr>
      </w:pPr>
      <w:r>
        <w:fldChar w:fldCharType="begin"/>
      </w:r>
      <w:r>
        <w:instrText xml:space="preserve"> HYPERLINK \l "_Toc9699" </w:instrText>
      </w:r>
      <w:r>
        <w:fldChar w:fldCharType="separate"/>
      </w:r>
      <w:r>
        <w:rPr>
          <w:rFonts w:hint="eastAsia" w:ascii="宋体" w:hAnsi="宋体" w:cs="宋体"/>
          <w:sz w:val="24"/>
        </w:rPr>
        <w:t>第二章 投标人须知</w:t>
      </w:r>
      <w:r>
        <w:rPr>
          <w:sz w:val="24"/>
        </w:rPr>
        <w:tab/>
      </w:r>
      <w:r>
        <w:rPr>
          <w:sz w:val="24"/>
        </w:rPr>
        <w:fldChar w:fldCharType="begin"/>
      </w:r>
      <w:r>
        <w:rPr>
          <w:sz w:val="24"/>
        </w:rPr>
        <w:instrText xml:space="preserve"> PAGEREF _Toc9699 \h </w:instrText>
      </w:r>
      <w:r>
        <w:rPr>
          <w:sz w:val="24"/>
        </w:rPr>
        <w:fldChar w:fldCharType="separate"/>
      </w:r>
      <w:r>
        <w:rPr>
          <w:sz w:val="24"/>
        </w:rPr>
        <w:t>8</w:t>
      </w:r>
      <w:r>
        <w:rPr>
          <w:sz w:val="24"/>
        </w:rPr>
        <w:fldChar w:fldCharType="end"/>
      </w:r>
      <w:r>
        <w:rPr>
          <w:sz w:val="24"/>
        </w:rPr>
        <w:fldChar w:fldCharType="end"/>
      </w:r>
    </w:p>
    <w:p w14:paraId="7F082275">
      <w:pPr>
        <w:pStyle w:val="17"/>
        <w:tabs>
          <w:tab w:val="right" w:leader="dot" w:pos="8306"/>
        </w:tabs>
        <w:spacing w:line="480" w:lineRule="auto"/>
        <w:rPr>
          <w:sz w:val="24"/>
        </w:rPr>
      </w:pPr>
      <w:r>
        <w:fldChar w:fldCharType="begin"/>
      </w:r>
      <w:r>
        <w:instrText xml:space="preserve"> HYPERLINK \l "_Toc7339" </w:instrText>
      </w:r>
      <w:r>
        <w:fldChar w:fldCharType="separate"/>
      </w:r>
      <w:r>
        <w:rPr>
          <w:rFonts w:hint="eastAsia" w:ascii="宋体" w:hAnsi="宋体" w:cs="宋体"/>
          <w:sz w:val="24"/>
        </w:rPr>
        <w:t>第三章 合同书样式及主要条款（草案）</w:t>
      </w:r>
      <w:r>
        <w:rPr>
          <w:sz w:val="24"/>
        </w:rPr>
        <w:tab/>
      </w:r>
      <w:r>
        <w:rPr>
          <w:sz w:val="24"/>
        </w:rPr>
        <w:fldChar w:fldCharType="begin"/>
      </w:r>
      <w:r>
        <w:rPr>
          <w:sz w:val="24"/>
        </w:rPr>
        <w:instrText xml:space="preserve"> PAGEREF _Toc7339 \h </w:instrText>
      </w:r>
      <w:r>
        <w:rPr>
          <w:sz w:val="24"/>
        </w:rPr>
        <w:fldChar w:fldCharType="separate"/>
      </w:r>
      <w:r>
        <w:rPr>
          <w:sz w:val="24"/>
        </w:rPr>
        <w:t>36</w:t>
      </w:r>
      <w:r>
        <w:rPr>
          <w:sz w:val="24"/>
        </w:rPr>
        <w:fldChar w:fldCharType="end"/>
      </w:r>
      <w:r>
        <w:rPr>
          <w:sz w:val="24"/>
        </w:rPr>
        <w:fldChar w:fldCharType="end"/>
      </w:r>
    </w:p>
    <w:p w14:paraId="761EE4BA">
      <w:pPr>
        <w:pStyle w:val="17"/>
        <w:tabs>
          <w:tab w:val="right" w:leader="dot" w:pos="8306"/>
        </w:tabs>
        <w:spacing w:line="480" w:lineRule="auto"/>
        <w:rPr>
          <w:sz w:val="24"/>
        </w:rPr>
      </w:pPr>
      <w:r>
        <w:fldChar w:fldCharType="begin"/>
      </w:r>
      <w:r>
        <w:instrText xml:space="preserve"> HYPERLINK \l "_Toc24287" </w:instrText>
      </w:r>
      <w:r>
        <w:fldChar w:fldCharType="separate"/>
      </w:r>
      <w:r>
        <w:rPr>
          <w:rFonts w:hint="eastAsia" w:ascii="宋体" w:hAnsi="宋体" w:cs="宋体"/>
          <w:sz w:val="24"/>
        </w:rPr>
        <w:t>第四章 采购需求及技术参数要求</w:t>
      </w:r>
      <w:r>
        <w:rPr>
          <w:sz w:val="24"/>
        </w:rPr>
        <w:tab/>
      </w:r>
      <w:r>
        <w:rPr>
          <w:sz w:val="24"/>
        </w:rPr>
        <w:fldChar w:fldCharType="begin"/>
      </w:r>
      <w:r>
        <w:rPr>
          <w:sz w:val="24"/>
        </w:rPr>
        <w:instrText xml:space="preserve"> PAGEREF _Toc24287 \h </w:instrText>
      </w:r>
      <w:r>
        <w:rPr>
          <w:sz w:val="24"/>
        </w:rPr>
        <w:fldChar w:fldCharType="separate"/>
      </w:r>
      <w:r>
        <w:rPr>
          <w:sz w:val="24"/>
        </w:rPr>
        <w:t>43</w:t>
      </w:r>
      <w:r>
        <w:rPr>
          <w:sz w:val="24"/>
        </w:rPr>
        <w:fldChar w:fldCharType="end"/>
      </w:r>
      <w:r>
        <w:rPr>
          <w:sz w:val="24"/>
        </w:rPr>
        <w:fldChar w:fldCharType="end"/>
      </w:r>
    </w:p>
    <w:p w14:paraId="1A39A816">
      <w:pPr>
        <w:pStyle w:val="17"/>
        <w:tabs>
          <w:tab w:val="right" w:leader="dot" w:pos="8306"/>
        </w:tabs>
        <w:spacing w:line="480" w:lineRule="auto"/>
        <w:rPr>
          <w:sz w:val="24"/>
        </w:rPr>
      </w:pPr>
      <w:r>
        <w:fldChar w:fldCharType="begin"/>
      </w:r>
      <w:r>
        <w:instrText xml:space="preserve"> HYPERLINK \l "_Toc5402" </w:instrText>
      </w:r>
      <w:r>
        <w:fldChar w:fldCharType="separate"/>
      </w:r>
      <w:r>
        <w:rPr>
          <w:rFonts w:hint="eastAsia" w:ascii="宋体" w:hAnsi="宋体" w:cs="宋体"/>
          <w:sz w:val="24"/>
        </w:rPr>
        <w:t>第五章 评标方法（综合评分法）</w:t>
      </w:r>
      <w:r>
        <w:rPr>
          <w:sz w:val="24"/>
        </w:rPr>
        <w:tab/>
      </w:r>
      <w:r>
        <w:rPr>
          <w:sz w:val="24"/>
        </w:rPr>
        <w:fldChar w:fldCharType="begin"/>
      </w:r>
      <w:r>
        <w:rPr>
          <w:sz w:val="24"/>
        </w:rPr>
        <w:instrText xml:space="preserve"> PAGEREF _Toc5402 \h </w:instrText>
      </w:r>
      <w:r>
        <w:rPr>
          <w:sz w:val="24"/>
        </w:rPr>
        <w:fldChar w:fldCharType="separate"/>
      </w:r>
      <w:r>
        <w:rPr>
          <w:sz w:val="24"/>
        </w:rPr>
        <w:t>96</w:t>
      </w:r>
      <w:r>
        <w:rPr>
          <w:sz w:val="24"/>
        </w:rPr>
        <w:fldChar w:fldCharType="end"/>
      </w:r>
      <w:r>
        <w:rPr>
          <w:sz w:val="24"/>
        </w:rPr>
        <w:fldChar w:fldCharType="end"/>
      </w:r>
    </w:p>
    <w:p w14:paraId="30F218DA">
      <w:pPr>
        <w:pStyle w:val="17"/>
        <w:tabs>
          <w:tab w:val="right" w:leader="dot" w:pos="8306"/>
        </w:tabs>
        <w:spacing w:line="480" w:lineRule="auto"/>
        <w:rPr>
          <w:sz w:val="24"/>
        </w:rPr>
      </w:pPr>
      <w:r>
        <w:fldChar w:fldCharType="begin"/>
      </w:r>
      <w:r>
        <w:instrText xml:space="preserve"> HYPERLINK \l "_Toc25104" </w:instrText>
      </w:r>
      <w:r>
        <w:fldChar w:fldCharType="separate"/>
      </w:r>
      <w:r>
        <w:rPr>
          <w:rFonts w:hint="eastAsia" w:ascii="宋体" w:hAnsi="宋体" w:cs="宋体"/>
          <w:sz w:val="24"/>
        </w:rPr>
        <w:t>第六章  投标文件格式</w:t>
      </w:r>
      <w:r>
        <w:rPr>
          <w:sz w:val="24"/>
        </w:rPr>
        <w:tab/>
      </w:r>
      <w:r>
        <w:rPr>
          <w:sz w:val="24"/>
        </w:rPr>
        <w:fldChar w:fldCharType="begin"/>
      </w:r>
      <w:r>
        <w:rPr>
          <w:sz w:val="24"/>
        </w:rPr>
        <w:instrText xml:space="preserve"> PAGEREF _Toc25104 \h </w:instrText>
      </w:r>
      <w:r>
        <w:rPr>
          <w:sz w:val="24"/>
        </w:rPr>
        <w:fldChar w:fldCharType="separate"/>
      </w:r>
      <w:r>
        <w:rPr>
          <w:sz w:val="24"/>
        </w:rPr>
        <w:t>106</w:t>
      </w:r>
      <w:r>
        <w:rPr>
          <w:sz w:val="24"/>
        </w:rPr>
        <w:fldChar w:fldCharType="end"/>
      </w:r>
      <w:r>
        <w:rPr>
          <w:sz w:val="24"/>
        </w:rPr>
        <w:fldChar w:fldCharType="end"/>
      </w:r>
    </w:p>
    <w:p w14:paraId="52B03A43">
      <w:pPr>
        <w:spacing w:line="480" w:lineRule="auto"/>
        <w:rPr>
          <w:rFonts w:hint="eastAsia" w:ascii="宋体" w:hAnsi="宋体" w:cs="宋体"/>
          <w:b/>
          <w:w w:val="95"/>
          <w:sz w:val="24"/>
        </w:rPr>
      </w:pPr>
      <w:r>
        <w:rPr>
          <w:rFonts w:hint="eastAsia" w:ascii="宋体" w:hAnsi="宋体" w:cs="宋体"/>
          <w:w w:val="95"/>
          <w:sz w:val="24"/>
        </w:rPr>
        <w:fldChar w:fldCharType="end"/>
      </w:r>
    </w:p>
    <w:p w14:paraId="4DB7F8BA">
      <w:pPr>
        <w:spacing w:line="360" w:lineRule="auto"/>
        <w:rPr>
          <w:rFonts w:hint="eastAsia" w:ascii="宋体" w:hAnsi="宋体" w:cs="宋体"/>
          <w:b/>
          <w:kern w:val="44"/>
          <w:sz w:val="28"/>
          <w:szCs w:val="20"/>
        </w:rPr>
      </w:pPr>
    </w:p>
    <w:p w14:paraId="25CDCFFD">
      <w:pPr>
        <w:pStyle w:val="3"/>
        <w:jc w:val="center"/>
        <w:rPr>
          <w:rFonts w:hint="eastAsia" w:ascii="宋体" w:hAnsi="宋体" w:eastAsia="宋体" w:cs="宋体"/>
        </w:rPr>
        <w:sectPr>
          <w:footerReference r:id="rId3" w:type="default"/>
          <w:pgSz w:w="11906" w:h="16838"/>
          <w:pgMar w:top="1440" w:right="1800" w:bottom="1440" w:left="1800" w:header="851" w:footer="992" w:gutter="0"/>
          <w:pgNumType w:start="1"/>
          <w:cols w:space="425" w:num="1"/>
          <w:docGrid w:type="lines" w:linePitch="312" w:charSpace="0"/>
        </w:sectPr>
      </w:pPr>
    </w:p>
    <w:p w14:paraId="63B0DD46">
      <w:pPr>
        <w:pStyle w:val="3"/>
        <w:jc w:val="center"/>
        <w:rPr>
          <w:rFonts w:hint="eastAsia" w:ascii="宋体" w:hAnsi="宋体" w:eastAsia="宋体" w:cs="宋体"/>
        </w:rPr>
      </w:pPr>
      <w:bookmarkStart w:id="2" w:name="_Toc2951"/>
      <w:bookmarkStart w:id="3" w:name="_Toc26825"/>
      <w:r>
        <w:rPr>
          <w:rFonts w:hint="eastAsia" w:ascii="宋体" w:hAnsi="宋体" w:eastAsia="宋体" w:cs="宋体"/>
        </w:rPr>
        <w:t>第一章  招标公告</w:t>
      </w:r>
      <w:bookmarkEnd w:id="0"/>
      <w:bookmarkEnd w:id="1"/>
      <w:bookmarkEnd w:id="2"/>
      <w:bookmarkEnd w:id="3"/>
    </w:p>
    <w:p w14:paraId="1325A165">
      <w:pPr>
        <w:pBdr>
          <w:top w:val="single" w:color="auto" w:sz="4" w:space="1"/>
          <w:left w:val="single" w:color="auto" w:sz="4" w:space="4"/>
          <w:bottom w:val="single" w:color="auto" w:sz="4" w:space="1"/>
          <w:right w:val="single" w:color="auto" w:sz="4" w:space="4"/>
        </w:pBdr>
        <w:spacing w:line="360" w:lineRule="auto"/>
        <w:rPr>
          <w:rFonts w:hint="eastAsia" w:ascii="宋体" w:hAnsi="宋体" w:cs="宋体"/>
          <w:sz w:val="24"/>
        </w:rPr>
      </w:pPr>
      <w:bookmarkStart w:id="4" w:name="_Toc28359008"/>
      <w:bookmarkStart w:id="5" w:name="_Toc35393627"/>
      <w:bookmarkStart w:id="6" w:name="_Toc35393796"/>
      <w:bookmarkStart w:id="7" w:name="_Toc28359085"/>
      <w:r>
        <w:rPr>
          <w:rFonts w:hint="eastAsia" w:ascii="宋体" w:hAnsi="宋体" w:cs="宋体"/>
          <w:sz w:val="24"/>
        </w:rPr>
        <w:t>项目概况</w:t>
      </w:r>
    </w:p>
    <w:p w14:paraId="25AD66CD">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cs="宋体"/>
          <w:sz w:val="24"/>
        </w:rPr>
      </w:pPr>
      <w:r>
        <w:rPr>
          <w:rFonts w:hint="eastAsia" w:ascii="宋体" w:hAnsi="宋体" w:cs="宋体"/>
          <w:sz w:val="24"/>
          <w:u w:val="single"/>
        </w:rPr>
        <w:t>玉溪市2026年生态环境监测能力提升项目</w:t>
      </w:r>
      <w:r>
        <w:rPr>
          <w:rFonts w:hint="eastAsia" w:ascii="宋体" w:hAnsi="宋体" w:cs="宋体"/>
          <w:sz w:val="24"/>
        </w:rPr>
        <w:t>的潜在投标人应登录政采云平台（https://www.zcygov.cn/）获取</w:t>
      </w:r>
      <w:r>
        <w:rPr>
          <w:rStyle w:val="27"/>
          <w:rFonts w:hint="default" w:ascii="宋体" w:hAnsi="宋体" w:eastAsia="宋体" w:cs="宋体"/>
          <w:color w:val="auto"/>
        </w:rPr>
        <w:t>招标文件</w:t>
      </w:r>
      <w:r>
        <w:rPr>
          <w:rFonts w:hint="eastAsia" w:ascii="宋体" w:hAnsi="宋体" w:cs="宋体"/>
          <w:sz w:val="24"/>
        </w:rPr>
        <w:t>，并于</w:t>
      </w:r>
      <w:r>
        <w:rPr>
          <w:rFonts w:hint="eastAsia" w:ascii="宋体" w:hAnsi="宋体" w:cs="宋体"/>
          <w:sz w:val="24"/>
          <w:u w:val="single"/>
        </w:rPr>
        <w:t xml:space="preserve">2026年   月   日  </w:t>
      </w:r>
      <w:r>
        <w:rPr>
          <w:rFonts w:hint="eastAsia" w:ascii="宋体" w:hAnsi="宋体" w:cs="宋体"/>
          <w:bCs/>
          <w:sz w:val="24"/>
          <w:u w:val="single"/>
        </w:rPr>
        <w:t>时  分</w:t>
      </w:r>
      <w:r>
        <w:rPr>
          <w:rFonts w:hint="eastAsia" w:ascii="宋体" w:hAnsi="宋体" w:cs="宋体"/>
          <w:bCs/>
          <w:sz w:val="24"/>
        </w:rPr>
        <w:t>（北京时间）前</w:t>
      </w:r>
      <w:r>
        <w:rPr>
          <w:rFonts w:hint="eastAsia" w:ascii="宋体" w:hAnsi="宋体" w:cs="宋体"/>
          <w:kern w:val="0"/>
          <w:sz w:val="24"/>
        </w:rPr>
        <w:t>在政采云平台（https://www.zcygov.cn/）递交投标文件</w:t>
      </w:r>
      <w:r>
        <w:rPr>
          <w:rFonts w:hint="eastAsia" w:ascii="宋体" w:hAnsi="宋体" w:cs="宋体"/>
          <w:sz w:val="24"/>
        </w:rPr>
        <w:t>。</w:t>
      </w:r>
    </w:p>
    <w:p w14:paraId="084D886A">
      <w:pPr>
        <w:pStyle w:val="4"/>
        <w:tabs>
          <w:tab w:val="clear" w:pos="1021"/>
        </w:tabs>
        <w:spacing w:before="156" w:beforeLines="50" w:after="156" w:afterLines="50"/>
        <w:ind w:left="0" w:firstLine="0"/>
        <w:rPr>
          <w:rFonts w:hint="eastAsia" w:ascii="宋体" w:hAnsi="宋体" w:eastAsia="宋体" w:cs="宋体"/>
          <w:bCs/>
          <w:sz w:val="24"/>
          <w:szCs w:val="24"/>
        </w:rPr>
      </w:pPr>
      <w:bookmarkStart w:id="8" w:name="_Toc30939"/>
      <w:bookmarkStart w:id="9" w:name="_Toc35393621"/>
      <w:bookmarkStart w:id="10" w:name="_Toc26326"/>
      <w:bookmarkStart w:id="11" w:name="_Toc28359002"/>
      <w:bookmarkStart w:id="12" w:name="_Toc35393790"/>
      <w:bookmarkStart w:id="13" w:name="_Toc14344"/>
      <w:bookmarkStart w:id="14" w:name="_Toc28359079"/>
      <w:bookmarkStart w:id="15" w:name="_Toc21969"/>
      <w:bookmarkStart w:id="16" w:name="_Hlk24379207"/>
      <w:r>
        <w:rPr>
          <w:rFonts w:hint="eastAsia" w:ascii="宋体" w:hAnsi="宋体" w:eastAsia="宋体" w:cs="宋体"/>
          <w:bCs/>
          <w:sz w:val="24"/>
          <w:szCs w:val="24"/>
        </w:rPr>
        <w:t>一、项目基本情况</w:t>
      </w:r>
      <w:bookmarkEnd w:id="8"/>
      <w:bookmarkEnd w:id="9"/>
      <w:bookmarkEnd w:id="10"/>
      <w:bookmarkEnd w:id="11"/>
      <w:bookmarkEnd w:id="12"/>
      <w:bookmarkEnd w:id="13"/>
      <w:bookmarkEnd w:id="14"/>
      <w:bookmarkEnd w:id="15"/>
    </w:p>
    <w:p w14:paraId="2176F7FE">
      <w:pPr>
        <w:spacing w:line="360" w:lineRule="auto"/>
        <w:ind w:firstLine="480" w:firstLineChars="200"/>
        <w:rPr>
          <w:rFonts w:hint="eastAsia" w:ascii="宋体" w:hAnsi="宋体" w:cs="宋体"/>
          <w:sz w:val="24"/>
        </w:rPr>
      </w:pPr>
      <w:r>
        <w:rPr>
          <w:rFonts w:hint="eastAsia" w:ascii="宋体" w:hAnsi="宋体" w:cs="宋体"/>
          <w:sz w:val="24"/>
        </w:rPr>
        <w:t xml:space="preserve">1.项目名称：玉溪市2026年生态环境监测能力提升项目 </w:t>
      </w:r>
      <w:bookmarkEnd w:id="16"/>
    </w:p>
    <w:p w14:paraId="6C148890">
      <w:pPr>
        <w:spacing w:line="360" w:lineRule="auto"/>
        <w:ind w:firstLine="480" w:firstLineChars="200"/>
        <w:rPr>
          <w:rFonts w:hint="eastAsia" w:ascii="宋体" w:hAnsi="宋体" w:cs="宋体"/>
          <w:sz w:val="24"/>
        </w:rPr>
      </w:pPr>
      <w:r>
        <w:rPr>
          <w:rFonts w:hint="eastAsia" w:ascii="宋体" w:hAnsi="宋体" w:cs="宋体"/>
          <w:sz w:val="24"/>
        </w:rPr>
        <w:t xml:space="preserve">2.项目编号：  </w:t>
      </w:r>
    </w:p>
    <w:p w14:paraId="6AC7EC7A">
      <w:pPr>
        <w:spacing w:line="360" w:lineRule="auto"/>
        <w:ind w:firstLine="480" w:firstLineChars="200"/>
        <w:rPr>
          <w:rFonts w:hint="eastAsia" w:ascii="宋体" w:hAnsi="宋体" w:cs="宋体"/>
          <w:sz w:val="24"/>
        </w:rPr>
      </w:pPr>
      <w:r>
        <w:rPr>
          <w:rFonts w:hint="eastAsia" w:ascii="宋体" w:hAnsi="宋体" w:cs="宋体"/>
          <w:sz w:val="24"/>
        </w:rPr>
        <w:t>3.预算金额：4656000.00元</w:t>
      </w:r>
    </w:p>
    <w:p w14:paraId="12C80161">
      <w:pPr>
        <w:spacing w:line="360" w:lineRule="auto"/>
        <w:ind w:firstLine="480" w:firstLineChars="200"/>
        <w:rPr>
          <w:rFonts w:hint="eastAsia" w:ascii="宋体" w:hAnsi="宋体" w:cs="宋体"/>
          <w:sz w:val="24"/>
        </w:rPr>
      </w:pPr>
      <w:r>
        <w:rPr>
          <w:rFonts w:hint="eastAsia" w:ascii="宋体" w:hAnsi="宋体" w:cs="宋体"/>
          <w:sz w:val="24"/>
        </w:rPr>
        <w:t>4.最高限价：4656000.00元</w:t>
      </w:r>
    </w:p>
    <w:p w14:paraId="1DE99FDC">
      <w:pPr>
        <w:spacing w:line="360" w:lineRule="auto"/>
        <w:ind w:firstLine="480" w:firstLineChars="200"/>
        <w:rPr>
          <w:rFonts w:hint="eastAsia" w:ascii="宋体" w:hAnsi="宋体" w:cs="宋体"/>
          <w:sz w:val="24"/>
        </w:rPr>
      </w:pPr>
      <w:r>
        <w:rPr>
          <w:rFonts w:hint="eastAsia" w:ascii="宋体" w:hAnsi="宋体" w:cs="宋体"/>
          <w:sz w:val="24"/>
        </w:rPr>
        <w:t>5.采购需求：详见下表。具体内容详见招标文件“第四章 采购需求及技术参数要求”。</w:t>
      </w:r>
    </w:p>
    <w:tbl>
      <w:tblPr>
        <w:tblStyle w:val="23"/>
        <w:tblW w:w="9675" w:type="dxa"/>
        <w:jc w:val="center"/>
        <w:tblLayout w:type="autofit"/>
        <w:tblCellMar>
          <w:top w:w="0" w:type="dxa"/>
          <w:left w:w="108" w:type="dxa"/>
          <w:bottom w:w="0" w:type="dxa"/>
          <w:right w:w="108" w:type="dxa"/>
        </w:tblCellMar>
      </w:tblPr>
      <w:tblGrid>
        <w:gridCol w:w="915"/>
        <w:gridCol w:w="2820"/>
        <w:gridCol w:w="1200"/>
        <w:gridCol w:w="1635"/>
        <w:gridCol w:w="1770"/>
        <w:gridCol w:w="1335"/>
      </w:tblGrid>
      <w:tr w14:paraId="1A0EA61D">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vAlign w:val="center"/>
          </w:tcPr>
          <w:p w14:paraId="26A6888D">
            <w:pPr>
              <w:widowControl/>
              <w:jc w:val="center"/>
              <w:textAlignment w:val="center"/>
              <w:rPr>
                <w:rFonts w:hint="eastAsia" w:ascii="宋体" w:hAnsi="宋体" w:cs="宋体"/>
                <w:sz w:val="24"/>
              </w:rPr>
            </w:pPr>
            <w:r>
              <w:rPr>
                <w:rFonts w:hint="eastAsia" w:ascii="宋体" w:hAnsi="宋体" w:cs="宋体"/>
                <w:kern w:val="0"/>
                <w:sz w:val="24"/>
                <w:lang w:bidi="ar"/>
              </w:rPr>
              <w:t>序号</w:t>
            </w:r>
          </w:p>
        </w:tc>
        <w:tc>
          <w:tcPr>
            <w:tcW w:w="2820" w:type="dxa"/>
            <w:tcBorders>
              <w:top w:val="single" w:color="000000" w:sz="4" w:space="0"/>
              <w:left w:val="single" w:color="000000" w:sz="4" w:space="0"/>
              <w:bottom w:val="single" w:color="000000" w:sz="4" w:space="0"/>
              <w:right w:val="single" w:color="000000" w:sz="4" w:space="0"/>
            </w:tcBorders>
            <w:vAlign w:val="center"/>
          </w:tcPr>
          <w:p w14:paraId="5DD14397">
            <w:pPr>
              <w:widowControl/>
              <w:jc w:val="center"/>
              <w:textAlignment w:val="center"/>
              <w:rPr>
                <w:rFonts w:hint="eastAsia" w:ascii="宋体" w:hAnsi="宋体" w:cs="宋体"/>
                <w:sz w:val="24"/>
              </w:rPr>
            </w:pPr>
            <w:r>
              <w:rPr>
                <w:rFonts w:hint="eastAsia" w:ascii="宋体" w:hAnsi="宋体" w:cs="宋体"/>
                <w:kern w:val="0"/>
                <w:sz w:val="24"/>
                <w:lang w:bidi="ar"/>
              </w:rPr>
              <w:t>设备名称</w:t>
            </w:r>
          </w:p>
        </w:tc>
        <w:tc>
          <w:tcPr>
            <w:tcW w:w="1200" w:type="dxa"/>
            <w:tcBorders>
              <w:top w:val="single" w:color="000000" w:sz="4" w:space="0"/>
              <w:left w:val="single" w:color="000000" w:sz="4" w:space="0"/>
              <w:bottom w:val="single" w:color="000000" w:sz="4" w:space="0"/>
              <w:right w:val="single" w:color="000000" w:sz="4" w:space="0"/>
            </w:tcBorders>
            <w:vAlign w:val="center"/>
          </w:tcPr>
          <w:p w14:paraId="401AE4CD">
            <w:pPr>
              <w:widowControl/>
              <w:jc w:val="center"/>
              <w:textAlignment w:val="center"/>
              <w:rPr>
                <w:rFonts w:hint="eastAsia" w:ascii="宋体" w:hAnsi="宋体" w:cs="宋体"/>
                <w:sz w:val="24"/>
              </w:rPr>
            </w:pPr>
            <w:r>
              <w:rPr>
                <w:rFonts w:hint="eastAsia" w:ascii="宋体" w:hAnsi="宋体" w:cs="宋体"/>
                <w:kern w:val="0"/>
                <w:sz w:val="24"/>
                <w:lang w:bidi="ar"/>
              </w:rPr>
              <w:t>数量（台/套）</w:t>
            </w:r>
          </w:p>
        </w:tc>
        <w:tc>
          <w:tcPr>
            <w:tcW w:w="1635" w:type="dxa"/>
            <w:tcBorders>
              <w:top w:val="single" w:color="000000" w:sz="4" w:space="0"/>
              <w:left w:val="single" w:color="000000" w:sz="4" w:space="0"/>
              <w:bottom w:val="single" w:color="000000" w:sz="4" w:space="0"/>
              <w:right w:val="single" w:color="000000" w:sz="4" w:space="0"/>
            </w:tcBorders>
            <w:vAlign w:val="center"/>
          </w:tcPr>
          <w:p w14:paraId="62C86A5B">
            <w:pPr>
              <w:widowControl/>
              <w:jc w:val="center"/>
              <w:textAlignment w:val="center"/>
              <w:rPr>
                <w:rFonts w:hint="eastAsia" w:ascii="宋体" w:hAnsi="宋体" w:cs="宋体"/>
                <w:sz w:val="24"/>
              </w:rPr>
            </w:pPr>
            <w:r>
              <w:rPr>
                <w:rFonts w:hint="eastAsia" w:ascii="宋体" w:hAnsi="宋体" w:cs="宋体"/>
                <w:kern w:val="0"/>
                <w:sz w:val="24"/>
                <w:lang w:bidi="ar"/>
              </w:rPr>
              <w:t>设备单价（元）</w:t>
            </w:r>
          </w:p>
        </w:tc>
        <w:tc>
          <w:tcPr>
            <w:tcW w:w="1770" w:type="dxa"/>
            <w:tcBorders>
              <w:top w:val="single" w:color="000000" w:sz="4" w:space="0"/>
              <w:left w:val="single" w:color="000000" w:sz="4" w:space="0"/>
              <w:bottom w:val="single" w:color="000000" w:sz="4" w:space="0"/>
              <w:right w:val="single" w:color="000000" w:sz="4" w:space="0"/>
            </w:tcBorders>
            <w:vAlign w:val="center"/>
          </w:tcPr>
          <w:p w14:paraId="3DA515C0">
            <w:pPr>
              <w:widowControl/>
              <w:jc w:val="center"/>
              <w:textAlignment w:val="center"/>
              <w:rPr>
                <w:rFonts w:hint="eastAsia" w:ascii="宋体" w:hAnsi="宋体" w:cs="宋体"/>
                <w:sz w:val="24"/>
              </w:rPr>
            </w:pPr>
            <w:r>
              <w:rPr>
                <w:rFonts w:hint="eastAsia" w:ascii="宋体" w:hAnsi="宋体" w:cs="宋体"/>
                <w:kern w:val="0"/>
                <w:sz w:val="24"/>
                <w:lang w:bidi="ar"/>
              </w:rPr>
              <w:t>设备总价（元）</w:t>
            </w:r>
          </w:p>
        </w:tc>
        <w:tc>
          <w:tcPr>
            <w:tcW w:w="1335" w:type="dxa"/>
            <w:tcBorders>
              <w:top w:val="single" w:color="000000" w:sz="4" w:space="0"/>
              <w:left w:val="single" w:color="000000" w:sz="4" w:space="0"/>
              <w:bottom w:val="single" w:color="000000" w:sz="4" w:space="0"/>
              <w:right w:val="single" w:color="000000" w:sz="4" w:space="0"/>
            </w:tcBorders>
            <w:vAlign w:val="center"/>
          </w:tcPr>
          <w:p w14:paraId="014047C9">
            <w:pPr>
              <w:widowControl/>
              <w:jc w:val="center"/>
              <w:textAlignment w:val="center"/>
              <w:rPr>
                <w:rFonts w:hint="eastAsia" w:ascii="宋体" w:hAnsi="宋体" w:cs="宋体"/>
                <w:sz w:val="24"/>
              </w:rPr>
            </w:pPr>
            <w:r>
              <w:rPr>
                <w:rFonts w:hint="eastAsia" w:ascii="宋体" w:hAnsi="宋体" w:cs="宋体"/>
                <w:kern w:val="0"/>
                <w:sz w:val="24"/>
                <w:lang w:bidi="ar"/>
              </w:rPr>
              <w:t>备注</w:t>
            </w:r>
          </w:p>
        </w:tc>
      </w:tr>
      <w:tr w14:paraId="3448AA70">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3F0773F0">
            <w:pPr>
              <w:snapToGrid w:val="0"/>
              <w:jc w:val="center"/>
              <w:rPr>
                <w:rFonts w:hint="eastAsia" w:ascii="宋体" w:hAnsi="宋体" w:cs="宋体"/>
                <w:sz w:val="24"/>
              </w:rPr>
            </w:pPr>
            <w:r>
              <w:rPr>
                <w:rFonts w:hint="eastAsia" w:ascii="宋体" w:hAnsi="宋体" w:cs="宋体"/>
                <w:sz w:val="24"/>
              </w:rPr>
              <w:t>1</w:t>
            </w:r>
          </w:p>
        </w:tc>
        <w:tc>
          <w:tcPr>
            <w:tcW w:w="2820" w:type="dxa"/>
            <w:tcBorders>
              <w:top w:val="single" w:color="000000" w:sz="4" w:space="0"/>
              <w:left w:val="single" w:color="000000" w:sz="4" w:space="0"/>
              <w:bottom w:val="single" w:color="000000" w:sz="4" w:space="0"/>
              <w:right w:val="single" w:color="000000" w:sz="4" w:space="0"/>
            </w:tcBorders>
            <w:vAlign w:val="center"/>
          </w:tcPr>
          <w:p w14:paraId="1BF79585">
            <w:pPr>
              <w:snapToGrid w:val="0"/>
              <w:jc w:val="center"/>
              <w:rPr>
                <w:rFonts w:hint="eastAsia" w:ascii="宋体" w:hAnsi="宋体" w:cs="宋体"/>
                <w:sz w:val="24"/>
              </w:rPr>
            </w:pPr>
            <w:r>
              <w:rPr>
                <w:rFonts w:hint="eastAsia" w:ascii="宋体" w:hAnsi="宋体" w:cs="宋体"/>
                <w:sz w:val="24"/>
              </w:rPr>
              <w:t>大流量低浓度烟尘气测试仪（带紫外模块）</w:t>
            </w:r>
          </w:p>
        </w:tc>
        <w:tc>
          <w:tcPr>
            <w:tcW w:w="1200" w:type="dxa"/>
            <w:tcBorders>
              <w:top w:val="single" w:color="000000" w:sz="4" w:space="0"/>
              <w:left w:val="single" w:color="000000" w:sz="4" w:space="0"/>
              <w:bottom w:val="single" w:color="000000" w:sz="4" w:space="0"/>
              <w:right w:val="single" w:color="000000" w:sz="4" w:space="0"/>
            </w:tcBorders>
            <w:vAlign w:val="center"/>
          </w:tcPr>
          <w:p w14:paraId="042FCA84">
            <w:pPr>
              <w:snapToGrid w:val="0"/>
              <w:jc w:val="center"/>
              <w:rPr>
                <w:rFonts w:hint="eastAsia" w:ascii="宋体" w:hAnsi="宋体" w:cs="宋体"/>
                <w:sz w:val="24"/>
              </w:rPr>
            </w:pPr>
            <w:r>
              <w:rPr>
                <w:rFonts w:hint="eastAsia" w:ascii="宋体" w:hAnsi="宋体" w:cs="宋体"/>
                <w:sz w:val="24"/>
              </w:rPr>
              <w:t>5</w:t>
            </w:r>
          </w:p>
        </w:tc>
        <w:tc>
          <w:tcPr>
            <w:tcW w:w="1635" w:type="dxa"/>
            <w:tcBorders>
              <w:top w:val="single" w:color="000000" w:sz="4" w:space="0"/>
              <w:left w:val="single" w:color="000000" w:sz="4" w:space="0"/>
              <w:bottom w:val="single" w:color="000000" w:sz="4" w:space="0"/>
              <w:right w:val="single" w:color="000000" w:sz="4" w:space="0"/>
            </w:tcBorders>
            <w:vAlign w:val="center"/>
          </w:tcPr>
          <w:p w14:paraId="3878CA19">
            <w:pPr>
              <w:snapToGrid w:val="0"/>
              <w:jc w:val="center"/>
              <w:rPr>
                <w:rFonts w:hint="eastAsia" w:ascii="宋体" w:hAnsi="宋体" w:cs="宋体"/>
                <w:sz w:val="24"/>
              </w:rPr>
            </w:pPr>
            <w:r>
              <w:rPr>
                <w:rFonts w:hint="eastAsia" w:ascii="宋体" w:hAnsi="宋体" w:cs="宋体"/>
                <w:sz w:val="24"/>
              </w:rPr>
              <w:t>140000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0CEDF801">
            <w:pPr>
              <w:snapToGrid w:val="0"/>
              <w:jc w:val="center"/>
              <w:rPr>
                <w:rFonts w:hint="eastAsia" w:ascii="宋体" w:hAnsi="宋体" w:cs="宋体"/>
                <w:sz w:val="24"/>
              </w:rPr>
            </w:pPr>
            <w:r>
              <w:rPr>
                <w:rFonts w:hint="eastAsia" w:ascii="宋体" w:hAnsi="宋体" w:cs="宋体"/>
                <w:sz w:val="24"/>
              </w:rPr>
              <w:t>700000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4FE674">
            <w:pPr>
              <w:jc w:val="center"/>
              <w:rPr>
                <w:rFonts w:hint="default" w:ascii="宋体" w:hAnsi="宋体" w:eastAsia="宋体" w:cs="宋体"/>
                <w:sz w:val="24"/>
                <w:lang w:val="en-US" w:eastAsia="zh-CN"/>
              </w:rPr>
            </w:pPr>
            <w:r>
              <w:rPr>
                <w:rFonts w:hint="eastAsia" w:ascii="宋体" w:hAnsi="宋体" w:cs="宋体"/>
                <w:sz w:val="24"/>
                <w:lang w:val="en-US" w:eastAsia="zh-CN"/>
              </w:rPr>
              <w:t>核心产品</w:t>
            </w:r>
          </w:p>
        </w:tc>
      </w:tr>
      <w:tr w14:paraId="59F8B33D">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62BF4A4D">
            <w:pPr>
              <w:snapToGrid w:val="0"/>
              <w:jc w:val="center"/>
              <w:rPr>
                <w:rFonts w:hint="eastAsia" w:ascii="宋体" w:hAnsi="宋体" w:cs="宋体"/>
                <w:sz w:val="24"/>
              </w:rPr>
            </w:pPr>
            <w:r>
              <w:rPr>
                <w:rFonts w:hint="eastAsia" w:ascii="宋体" w:hAnsi="宋体" w:cs="宋体"/>
                <w:sz w:val="24"/>
              </w:rPr>
              <w:t>2</w:t>
            </w:r>
          </w:p>
        </w:tc>
        <w:tc>
          <w:tcPr>
            <w:tcW w:w="2820" w:type="dxa"/>
            <w:tcBorders>
              <w:top w:val="single" w:color="000000" w:sz="4" w:space="0"/>
              <w:left w:val="single" w:color="000000" w:sz="4" w:space="0"/>
              <w:bottom w:val="single" w:color="000000" w:sz="4" w:space="0"/>
              <w:right w:val="single" w:color="000000" w:sz="4" w:space="0"/>
            </w:tcBorders>
            <w:vAlign w:val="center"/>
          </w:tcPr>
          <w:p w14:paraId="5F924DFA">
            <w:pPr>
              <w:snapToGrid w:val="0"/>
              <w:jc w:val="center"/>
              <w:rPr>
                <w:rFonts w:hint="eastAsia" w:ascii="宋体" w:hAnsi="宋体" w:cs="宋体"/>
                <w:sz w:val="24"/>
              </w:rPr>
            </w:pPr>
            <w:r>
              <w:rPr>
                <w:rFonts w:hint="eastAsia" w:ascii="宋体" w:hAnsi="宋体" w:cs="宋体"/>
                <w:sz w:val="24"/>
              </w:rPr>
              <w:t>大流量低浓度烟尘气测试仪（定电位电解法）</w:t>
            </w:r>
          </w:p>
        </w:tc>
        <w:tc>
          <w:tcPr>
            <w:tcW w:w="1200" w:type="dxa"/>
            <w:tcBorders>
              <w:top w:val="single" w:color="000000" w:sz="4" w:space="0"/>
              <w:left w:val="single" w:color="000000" w:sz="4" w:space="0"/>
              <w:bottom w:val="single" w:color="000000" w:sz="4" w:space="0"/>
              <w:right w:val="single" w:color="000000" w:sz="4" w:space="0"/>
            </w:tcBorders>
            <w:vAlign w:val="center"/>
          </w:tcPr>
          <w:p w14:paraId="0AC66024">
            <w:pPr>
              <w:snapToGrid w:val="0"/>
              <w:jc w:val="center"/>
              <w:rPr>
                <w:rFonts w:hint="eastAsia" w:ascii="宋体" w:hAnsi="宋体" w:cs="宋体"/>
                <w:sz w:val="24"/>
              </w:rPr>
            </w:pPr>
            <w:r>
              <w:rPr>
                <w:rFonts w:hint="eastAsia" w:ascii="宋体" w:hAnsi="宋体" w:cs="宋体"/>
                <w:sz w:val="24"/>
              </w:rPr>
              <w:t>2</w:t>
            </w:r>
          </w:p>
        </w:tc>
        <w:tc>
          <w:tcPr>
            <w:tcW w:w="1635" w:type="dxa"/>
            <w:tcBorders>
              <w:top w:val="single" w:color="000000" w:sz="4" w:space="0"/>
              <w:left w:val="single" w:color="000000" w:sz="4" w:space="0"/>
              <w:bottom w:val="single" w:color="000000" w:sz="4" w:space="0"/>
              <w:right w:val="single" w:color="000000" w:sz="4" w:space="0"/>
            </w:tcBorders>
            <w:vAlign w:val="center"/>
          </w:tcPr>
          <w:p w14:paraId="77630344">
            <w:pPr>
              <w:snapToGrid w:val="0"/>
              <w:jc w:val="center"/>
              <w:rPr>
                <w:rFonts w:hint="eastAsia" w:ascii="宋体" w:hAnsi="宋体" w:cs="宋体"/>
                <w:sz w:val="24"/>
              </w:rPr>
            </w:pPr>
            <w:r>
              <w:rPr>
                <w:rFonts w:hint="eastAsia" w:ascii="宋体" w:hAnsi="宋体" w:cs="宋体"/>
                <w:sz w:val="24"/>
              </w:rPr>
              <w:t>60000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2C813EC4">
            <w:pPr>
              <w:snapToGrid w:val="0"/>
              <w:jc w:val="center"/>
              <w:rPr>
                <w:rFonts w:hint="eastAsia" w:ascii="宋体" w:hAnsi="宋体" w:cs="宋体"/>
                <w:sz w:val="24"/>
              </w:rPr>
            </w:pPr>
            <w:r>
              <w:rPr>
                <w:rFonts w:hint="eastAsia" w:ascii="宋体" w:hAnsi="宋体" w:cs="宋体"/>
                <w:sz w:val="24"/>
              </w:rPr>
              <w:t>120000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51B0CE">
            <w:pPr>
              <w:jc w:val="center"/>
              <w:rPr>
                <w:rFonts w:hint="eastAsia" w:ascii="宋体" w:hAnsi="宋体" w:cs="宋体"/>
                <w:sz w:val="24"/>
              </w:rPr>
            </w:pPr>
          </w:p>
        </w:tc>
      </w:tr>
      <w:tr w14:paraId="5A8884A0">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35011449">
            <w:pPr>
              <w:snapToGrid w:val="0"/>
              <w:jc w:val="center"/>
              <w:rPr>
                <w:rFonts w:hint="eastAsia" w:ascii="宋体" w:hAnsi="宋体" w:cs="宋体"/>
                <w:sz w:val="24"/>
              </w:rPr>
            </w:pPr>
            <w:r>
              <w:rPr>
                <w:rFonts w:hint="eastAsia" w:ascii="宋体" w:hAnsi="宋体" w:cs="宋体"/>
                <w:sz w:val="24"/>
              </w:rPr>
              <w:t>3</w:t>
            </w:r>
          </w:p>
        </w:tc>
        <w:tc>
          <w:tcPr>
            <w:tcW w:w="2820" w:type="dxa"/>
            <w:tcBorders>
              <w:top w:val="single" w:color="000000" w:sz="4" w:space="0"/>
              <w:left w:val="single" w:color="000000" w:sz="4" w:space="0"/>
              <w:bottom w:val="single" w:color="000000" w:sz="4" w:space="0"/>
              <w:right w:val="single" w:color="000000" w:sz="4" w:space="0"/>
            </w:tcBorders>
            <w:vAlign w:val="center"/>
          </w:tcPr>
          <w:p w14:paraId="0574084B">
            <w:pPr>
              <w:snapToGrid w:val="0"/>
              <w:jc w:val="center"/>
              <w:rPr>
                <w:rFonts w:hint="eastAsia" w:ascii="宋体" w:hAnsi="宋体" w:cs="宋体"/>
                <w:sz w:val="24"/>
              </w:rPr>
            </w:pPr>
            <w:r>
              <w:rPr>
                <w:rFonts w:hint="eastAsia" w:ascii="宋体" w:hAnsi="宋体" w:cs="宋体"/>
                <w:sz w:val="24"/>
              </w:rPr>
              <w:t>全自动总磷总氮分析仪</w:t>
            </w:r>
          </w:p>
        </w:tc>
        <w:tc>
          <w:tcPr>
            <w:tcW w:w="1200" w:type="dxa"/>
            <w:tcBorders>
              <w:top w:val="single" w:color="000000" w:sz="4" w:space="0"/>
              <w:left w:val="single" w:color="000000" w:sz="4" w:space="0"/>
              <w:bottom w:val="single" w:color="000000" w:sz="4" w:space="0"/>
              <w:right w:val="single" w:color="000000" w:sz="4" w:space="0"/>
            </w:tcBorders>
            <w:vAlign w:val="center"/>
          </w:tcPr>
          <w:p w14:paraId="4F6EDB92">
            <w:pPr>
              <w:snapToGrid w:val="0"/>
              <w:jc w:val="center"/>
              <w:rPr>
                <w:rFonts w:hint="eastAsia" w:ascii="宋体" w:hAnsi="宋体" w:cs="宋体"/>
                <w:sz w:val="24"/>
              </w:rPr>
            </w:pPr>
            <w:r>
              <w:rPr>
                <w:rFonts w:hint="eastAsia" w:ascii="宋体" w:hAnsi="宋体" w:cs="宋体"/>
                <w:sz w:val="24"/>
              </w:rPr>
              <w:t>2</w:t>
            </w:r>
          </w:p>
        </w:tc>
        <w:tc>
          <w:tcPr>
            <w:tcW w:w="1635" w:type="dxa"/>
            <w:tcBorders>
              <w:top w:val="single" w:color="000000" w:sz="4" w:space="0"/>
              <w:left w:val="single" w:color="000000" w:sz="4" w:space="0"/>
              <w:bottom w:val="single" w:color="000000" w:sz="4" w:space="0"/>
              <w:right w:val="single" w:color="000000" w:sz="4" w:space="0"/>
            </w:tcBorders>
            <w:vAlign w:val="center"/>
          </w:tcPr>
          <w:p w14:paraId="6AEA3DF6">
            <w:pPr>
              <w:snapToGrid w:val="0"/>
              <w:jc w:val="center"/>
              <w:rPr>
                <w:rFonts w:hint="eastAsia" w:ascii="宋体" w:hAnsi="宋体" w:cs="宋体"/>
                <w:sz w:val="24"/>
              </w:rPr>
            </w:pPr>
            <w:r>
              <w:rPr>
                <w:rFonts w:hint="eastAsia" w:ascii="宋体" w:hAnsi="宋体" w:cs="宋体"/>
                <w:sz w:val="24"/>
              </w:rPr>
              <w:t>195000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375802F9">
            <w:pPr>
              <w:snapToGrid w:val="0"/>
              <w:jc w:val="center"/>
              <w:rPr>
                <w:rFonts w:hint="eastAsia" w:ascii="宋体" w:hAnsi="宋体" w:cs="宋体"/>
                <w:sz w:val="24"/>
              </w:rPr>
            </w:pPr>
            <w:r>
              <w:rPr>
                <w:rFonts w:hint="eastAsia" w:ascii="宋体" w:hAnsi="宋体" w:cs="宋体"/>
                <w:sz w:val="24"/>
              </w:rPr>
              <w:t>390000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76E6FE">
            <w:pPr>
              <w:jc w:val="center"/>
              <w:rPr>
                <w:rFonts w:hint="eastAsia" w:ascii="宋体" w:hAnsi="宋体" w:cs="宋体"/>
                <w:sz w:val="24"/>
              </w:rPr>
            </w:pPr>
          </w:p>
        </w:tc>
      </w:tr>
      <w:tr w14:paraId="0EECC8F2">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4254CC9C">
            <w:pPr>
              <w:snapToGrid w:val="0"/>
              <w:jc w:val="center"/>
              <w:rPr>
                <w:rFonts w:hint="eastAsia" w:ascii="宋体" w:hAnsi="宋体" w:cs="宋体"/>
                <w:sz w:val="24"/>
              </w:rPr>
            </w:pPr>
            <w:r>
              <w:rPr>
                <w:rFonts w:hint="eastAsia" w:ascii="宋体" w:hAnsi="宋体" w:cs="宋体"/>
                <w:sz w:val="24"/>
              </w:rPr>
              <w:t>4</w:t>
            </w:r>
          </w:p>
        </w:tc>
        <w:tc>
          <w:tcPr>
            <w:tcW w:w="2820" w:type="dxa"/>
            <w:tcBorders>
              <w:top w:val="single" w:color="000000" w:sz="4" w:space="0"/>
              <w:left w:val="single" w:color="000000" w:sz="4" w:space="0"/>
              <w:bottom w:val="single" w:color="000000" w:sz="4" w:space="0"/>
              <w:right w:val="single" w:color="000000" w:sz="4" w:space="0"/>
            </w:tcBorders>
            <w:vAlign w:val="center"/>
          </w:tcPr>
          <w:p w14:paraId="4A3A5862">
            <w:pPr>
              <w:snapToGrid w:val="0"/>
              <w:jc w:val="center"/>
              <w:rPr>
                <w:rFonts w:hint="eastAsia" w:ascii="宋体" w:hAnsi="宋体" w:cs="宋体"/>
                <w:sz w:val="24"/>
              </w:rPr>
            </w:pPr>
            <w:r>
              <w:rPr>
                <w:rFonts w:hint="eastAsia" w:ascii="宋体" w:hAnsi="宋体" w:cs="宋体"/>
                <w:sz w:val="24"/>
              </w:rPr>
              <w:t>全自动氨氮测定仪</w:t>
            </w:r>
          </w:p>
        </w:tc>
        <w:tc>
          <w:tcPr>
            <w:tcW w:w="1200" w:type="dxa"/>
            <w:tcBorders>
              <w:top w:val="single" w:color="000000" w:sz="4" w:space="0"/>
              <w:left w:val="single" w:color="000000" w:sz="4" w:space="0"/>
              <w:bottom w:val="single" w:color="000000" w:sz="4" w:space="0"/>
              <w:right w:val="single" w:color="000000" w:sz="4" w:space="0"/>
            </w:tcBorders>
            <w:vAlign w:val="center"/>
          </w:tcPr>
          <w:p w14:paraId="3B5D8E07">
            <w:pPr>
              <w:snapToGrid w:val="0"/>
              <w:jc w:val="center"/>
              <w:rPr>
                <w:rFonts w:hint="eastAsia" w:ascii="宋体" w:hAnsi="宋体" w:cs="宋体"/>
                <w:sz w:val="24"/>
              </w:rPr>
            </w:pPr>
            <w:r>
              <w:rPr>
                <w:rFonts w:hint="eastAsia" w:ascii="宋体" w:hAnsi="宋体" w:cs="宋体"/>
                <w:sz w:val="24"/>
              </w:rPr>
              <w:t>1</w:t>
            </w:r>
          </w:p>
        </w:tc>
        <w:tc>
          <w:tcPr>
            <w:tcW w:w="1635" w:type="dxa"/>
            <w:tcBorders>
              <w:top w:val="single" w:color="000000" w:sz="4" w:space="0"/>
              <w:left w:val="single" w:color="000000" w:sz="4" w:space="0"/>
              <w:bottom w:val="single" w:color="000000" w:sz="4" w:space="0"/>
              <w:right w:val="single" w:color="000000" w:sz="4" w:space="0"/>
            </w:tcBorders>
            <w:vAlign w:val="center"/>
          </w:tcPr>
          <w:p w14:paraId="0F1E8800">
            <w:pPr>
              <w:snapToGrid w:val="0"/>
              <w:jc w:val="center"/>
              <w:rPr>
                <w:rFonts w:hint="eastAsia" w:ascii="宋体" w:hAnsi="宋体" w:cs="宋体"/>
                <w:sz w:val="24"/>
              </w:rPr>
            </w:pPr>
            <w:r>
              <w:rPr>
                <w:rFonts w:hint="eastAsia" w:ascii="宋体" w:hAnsi="宋体" w:cs="宋体"/>
                <w:sz w:val="24"/>
              </w:rPr>
              <w:t>190000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2154193B">
            <w:pPr>
              <w:snapToGrid w:val="0"/>
              <w:jc w:val="center"/>
              <w:rPr>
                <w:rFonts w:hint="eastAsia" w:ascii="宋体" w:hAnsi="宋体" w:cs="宋体"/>
                <w:sz w:val="24"/>
              </w:rPr>
            </w:pPr>
            <w:r>
              <w:rPr>
                <w:rFonts w:hint="eastAsia" w:ascii="宋体" w:hAnsi="宋体" w:cs="宋体"/>
                <w:sz w:val="24"/>
              </w:rPr>
              <w:t>190000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58ACE0">
            <w:pPr>
              <w:jc w:val="center"/>
              <w:rPr>
                <w:rFonts w:hint="eastAsia" w:ascii="宋体" w:hAnsi="宋体" w:cs="宋体"/>
                <w:sz w:val="24"/>
              </w:rPr>
            </w:pPr>
          </w:p>
        </w:tc>
      </w:tr>
      <w:tr w14:paraId="62ED356A">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2CE5AEE7">
            <w:pPr>
              <w:snapToGrid w:val="0"/>
              <w:jc w:val="center"/>
              <w:rPr>
                <w:rFonts w:hint="eastAsia" w:ascii="宋体" w:hAnsi="宋体" w:cs="宋体"/>
                <w:sz w:val="24"/>
              </w:rPr>
            </w:pPr>
            <w:r>
              <w:rPr>
                <w:rFonts w:hint="eastAsia" w:ascii="宋体" w:hAnsi="宋体" w:cs="宋体"/>
                <w:sz w:val="24"/>
              </w:rPr>
              <w:t>5</w:t>
            </w:r>
          </w:p>
        </w:tc>
        <w:tc>
          <w:tcPr>
            <w:tcW w:w="2820" w:type="dxa"/>
            <w:tcBorders>
              <w:top w:val="single" w:color="000000" w:sz="4" w:space="0"/>
              <w:left w:val="single" w:color="000000" w:sz="4" w:space="0"/>
              <w:bottom w:val="single" w:color="000000" w:sz="4" w:space="0"/>
              <w:right w:val="single" w:color="000000" w:sz="4" w:space="0"/>
            </w:tcBorders>
            <w:vAlign w:val="center"/>
          </w:tcPr>
          <w:p w14:paraId="0273963C">
            <w:pPr>
              <w:snapToGrid w:val="0"/>
              <w:jc w:val="center"/>
              <w:rPr>
                <w:rFonts w:hint="eastAsia" w:ascii="宋体" w:hAnsi="宋体" w:cs="宋体"/>
                <w:sz w:val="24"/>
              </w:rPr>
            </w:pPr>
            <w:r>
              <w:rPr>
                <w:rFonts w:hint="eastAsia" w:ascii="宋体" w:hAnsi="宋体" w:cs="宋体"/>
                <w:sz w:val="24"/>
              </w:rPr>
              <w:t>全自动高锰酸盐指数分析仪</w:t>
            </w:r>
          </w:p>
        </w:tc>
        <w:tc>
          <w:tcPr>
            <w:tcW w:w="1200" w:type="dxa"/>
            <w:tcBorders>
              <w:top w:val="single" w:color="000000" w:sz="4" w:space="0"/>
              <w:left w:val="single" w:color="000000" w:sz="4" w:space="0"/>
              <w:bottom w:val="single" w:color="000000" w:sz="4" w:space="0"/>
              <w:right w:val="single" w:color="000000" w:sz="4" w:space="0"/>
            </w:tcBorders>
            <w:vAlign w:val="center"/>
          </w:tcPr>
          <w:p w14:paraId="275725C2">
            <w:pPr>
              <w:snapToGrid w:val="0"/>
              <w:jc w:val="center"/>
              <w:rPr>
                <w:rFonts w:hint="eastAsia" w:ascii="宋体" w:hAnsi="宋体" w:cs="宋体"/>
                <w:sz w:val="24"/>
              </w:rPr>
            </w:pPr>
            <w:r>
              <w:rPr>
                <w:rFonts w:hint="eastAsia" w:ascii="宋体" w:hAnsi="宋体" w:cs="宋体"/>
                <w:sz w:val="24"/>
              </w:rPr>
              <w:t>1</w:t>
            </w:r>
          </w:p>
        </w:tc>
        <w:tc>
          <w:tcPr>
            <w:tcW w:w="1635" w:type="dxa"/>
            <w:tcBorders>
              <w:top w:val="single" w:color="000000" w:sz="4" w:space="0"/>
              <w:left w:val="single" w:color="000000" w:sz="4" w:space="0"/>
              <w:bottom w:val="single" w:color="000000" w:sz="4" w:space="0"/>
              <w:right w:val="single" w:color="000000" w:sz="4" w:space="0"/>
            </w:tcBorders>
            <w:vAlign w:val="center"/>
          </w:tcPr>
          <w:p w14:paraId="55505287">
            <w:pPr>
              <w:snapToGrid w:val="0"/>
              <w:jc w:val="center"/>
              <w:rPr>
                <w:rFonts w:hint="eastAsia" w:ascii="宋体" w:hAnsi="宋体" w:cs="宋体"/>
                <w:sz w:val="24"/>
              </w:rPr>
            </w:pPr>
            <w:r>
              <w:rPr>
                <w:rFonts w:hint="eastAsia" w:ascii="宋体" w:hAnsi="宋体" w:cs="宋体"/>
                <w:sz w:val="24"/>
              </w:rPr>
              <w:t>170000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057AE7BA">
            <w:pPr>
              <w:snapToGrid w:val="0"/>
              <w:jc w:val="center"/>
              <w:rPr>
                <w:rFonts w:hint="eastAsia" w:ascii="宋体" w:hAnsi="宋体" w:cs="宋体"/>
                <w:sz w:val="24"/>
              </w:rPr>
            </w:pPr>
            <w:r>
              <w:rPr>
                <w:rFonts w:hint="eastAsia" w:ascii="宋体" w:hAnsi="宋体" w:cs="宋体"/>
                <w:sz w:val="24"/>
              </w:rPr>
              <w:t>170000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188683">
            <w:pPr>
              <w:jc w:val="center"/>
              <w:rPr>
                <w:rFonts w:hint="eastAsia" w:ascii="宋体" w:hAnsi="宋体" w:cs="宋体"/>
                <w:sz w:val="24"/>
              </w:rPr>
            </w:pPr>
          </w:p>
        </w:tc>
      </w:tr>
      <w:tr w14:paraId="65F99933">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41271DF1">
            <w:pPr>
              <w:snapToGrid w:val="0"/>
              <w:jc w:val="center"/>
              <w:rPr>
                <w:rFonts w:hint="eastAsia" w:ascii="宋体" w:hAnsi="宋体" w:cs="宋体"/>
                <w:sz w:val="24"/>
              </w:rPr>
            </w:pPr>
            <w:r>
              <w:rPr>
                <w:rFonts w:hint="eastAsia" w:ascii="宋体" w:hAnsi="宋体" w:cs="宋体"/>
                <w:sz w:val="24"/>
              </w:rPr>
              <w:t>6</w:t>
            </w:r>
          </w:p>
        </w:tc>
        <w:tc>
          <w:tcPr>
            <w:tcW w:w="2820" w:type="dxa"/>
            <w:tcBorders>
              <w:top w:val="single" w:color="000000" w:sz="4" w:space="0"/>
              <w:left w:val="single" w:color="000000" w:sz="4" w:space="0"/>
              <w:bottom w:val="single" w:color="000000" w:sz="4" w:space="0"/>
              <w:right w:val="single" w:color="000000" w:sz="4" w:space="0"/>
            </w:tcBorders>
            <w:vAlign w:val="center"/>
          </w:tcPr>
          <w:p w14:paraId="14B478C0">
            <w:pPr>
              <w:snapToGrid w:val="0"/>
              <w:jc w:val="center"/>
              <w:rPr>
                <w:rFonts w:hint="eastAsia" w:ascii="宋体" w:hAnsi="宋体" w:cs="宋体"/>
                <w:sz w:val="24"/>
              </w:rPr>
            </w:pPr>
            <w:r>
              <w:rPr>
                <w:rFonts w:hint="eastAsia" w:ascii="宋体" w:hAnsi="宋体" w:cs="宋体"/>
                <w:sz w:val="24"/>
              </w:rPr>
              <w:t>全自动COD测定仪</w:t>
            </w:r>
          </w:p>
        </w:tc>
        <w:tc>
          <w:tcPr>
            <w:tcW w:w="1200" w:type="dxa"/>
            <w:tcBorders>
              <w:top w:val="single" w:color="000000" w:sz="4" w:space="0"/>
              <w:left w:val="single" w:color="000000" w:sz="4" w:space="0"/>
              <w:bottom w:val="single" w:color="000000" w:sz="4" w:space="0"/>
              <w:right w:val="single" w:color="000000" w:sz="4" w:space="0"/>
            </w:tcBorders>
            <w:vAlign w:val="center"/>
          </w:tcPr>
          <w:p w14:paraId="6A891B30">
            <w:pPr>
              <w:snapToGrid w:val="0"/>
              <w:jc w:val="center"/>
              <w:rPr>
                <w:rFonts w:hint="eastAsia" w:ascii="宋体" w:hAnsi="宋体" w:cs="宋体"/>
                <w:sz w:val="24"/>
              </w:rPr>
            </w:pPr>
            <w:r>
              <w:rPr>
                <w:rFonts w:hint="eastAsia" w:ascii="宋体" w:hAnsi="宋体" w:cs="宋体"/>
                <w:sz w:val="24"/>
              </w:rPr>
              <w:t>1</w:t>
            </w:r>
          </w:p>
        </w:tc>
        <w:tc>
          <w:tcPr>
            <w:tcW w:w="1635" w:type="dxa"/>
            <w:tcBorders>
              <w:top w:val="single" w:color="000000" w:sz="4" w:space="0"/>
              <w:left w:val="single" w:color="000000" w:sz="4" w:space="0"/>
              <w:bottom w:val="single" w:color="000000" w:sz="4" w:space="0"/>
              <w:right w:val="single" w:color="000000" w:sz="4" w:space="0"/>
            </w:tcBorders>
            <w:vAlign w:val="center"/>
          </w:tcPr>
          <w:p w14:paraId="28E4FE8B">
            <w:pPr>
              <w:snapToGrid w:val="0"/>
              <w:jc w:val="center"/>
              <w:rPr>
                <w:rFonts w:hint="eastAsia" w:ascii="宋体" w:hAnsi="宋体" w:cs="宋体"/>
                <w:sz w:val="24"/>
              </w:rPr>
            </w:pPr>
            <w:r>
              <w:rPr>
                <w:rFonts w:hint="eastAsia" w:ascii="宋体" w:hAnsi="宋体" w:cs="宋体"/>
                <w:sz w:val="24"/>
              </w:rPr>
              <w:t>190000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7405E8DE">
            <w:pPr>
              <w:snapToGrid w:val="0"/>
              <w:jc w:val="center"/>
              <w:rPr>
                <w:rFonts w:hint="eastAsia" w:ascii="宋体" w:hAnsi="宋体" w:cs="宋体"/>
                <w:sz w:val="24"/>
              </w:rPr>
            </w:pPr>
            <w:r>
              <w:rPr>
                <w:rFonts w:hint="eastAsia" w:ascii="宋体" w:hAnsi="宋体" w:cs="宋体"/>
                <w:sz w:val="24"/>
              </w:rPr>
              <w:t>190000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C38CB4">
            <w:pPr>
              <w:jc w:val="center"/>
              <w:rPr>
                <w:rFonts w:hint="eastAsia" w:ascii="宋体" w:hAnsi="宋体" w:cs="宋体"/>
                <w:sz w:val="24"/>
              </w:rPr>
            </w:pPr>
          </w:p>
        </w:tc>
      </w:tr>
      <w:tr w14:paraId="2796CB43">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33772221">
            <w:pPr>
              <w:snapToGrid w:val="0"/>
              <w:jc w:val="center"/>
              <w:rPr>
                <w:rFonts w:hint="eastAsia" w:ascii="宋体" w:hAnsi="宋体" w:cs="宋体"/>
                <w:sz w:val="24"/>
              </w:rPr>
            </w:pPr>
            <w:r>
              <w:rPr>
                <w:rFonts w:hint="eastAsia" w:ascii="宋体" w:hAnsi="宋体" w:cs="宋体"/>
                <w:sz w:val="24"/>
              </w:rPr>
              <w:t>7</w:t>
            </w:r>
          </w:p>
        </w:tc>
        <w:tc>
          <w:tcPr>
            <w:tcW w:w="2820" w:type="dxa"/>
            <w:tcBorders>
              <w:top w:val="single" w:color="000000" w:sz="4" w:space="0"/>
              <w:left w:val="single" w:color="000000" w:sz="4" w:space="0"/>
              <w:bottom w:val="single" w:color="000000" w:sz="4" w:space="0"/>
              <w:right w:val="single" w:color="000000" w:sz="4" w:space="0"/>
            </w:tcBorders>
            <w:vAlign w:val="center"/>
          </w:tcPr>
          <w:p w14:paraId="7C651557">
            <w:pPr>
              <w:snapToGrid w:val="0"/>
              <w:jc w:val="center"/>
              <w:rPr>
                <w:rFonts w:hint="eastAsia" w:ascii="宋体" w:hAnsi="宋体" w:cs="宋体"/>
                <w:sz w:val="24"/>
              </w:rPr>
            </w:pPr>
            <w:r>
              <w:rPr>
                <w:rFonts w:hint="eastAsia" w:ascii="宋体" w:hAnsi="宋体" w:cs="宋体"/>
                <w:sz w:val="24"/>
              </w:rPr>
              <w:t>离子色谱仪</w:t>
            </w:r>
          </w:p>
        </w:tc>
        <w:tc>
          <w:tcPr>
            <w:tcW w:w="1200" w:type="dxa"/>
            <w:tcBorders>
              <w:top w:val="single" w:color="000000" w:sz="4" w:space="0"/>
              <w:left w:val="single" w:color="000000" w:sz="4" w:space="0"/>
              <w:bottom w:val="single" w:color="000000" w:sz="4" w:space="0"/>
              <w:right w:val="single" w:color="000000" w:sz="4" w:space="0"/>
            </w:tcBorders>
            <w:vAlign w:val="center"/>
          </w:tcPr>
          <w:p w14:paraId="4CF0A424">
            <w:pPr>
              <w:snapToGrid w:val="0"/>
              <w:jc w:val="center"/>
              <w:rPr>
                <w:rFonts w:hint="eastAsia" w:ascii="宋体" w:hAnsi="宋体" w:cs="宋体"/>
                <w:sz w:val="24"/>
              </w:rPr>
            </w:pPr>
            <w:r>
              <w:rPr>
                <w:rFonts w:hint="eastAsia" w:ascii="宋体" w:hAnsi="宋体" w:cs="宋体"/>
                <w:sz w:val="24"/>
              </w:rPr>
              <w:t>1</w:t>
            </w:r>
          </w:p>
        </w:tc>
        <w:tc>
          <w:tcPr>
            <w:tcW w:w="1635" w:type="dxa"/>
            <w:tcBorders>
              <w:top w:val="single" w:color="000000" w:sz="4" w:space="0"/>
              <w:left w:val="single" w:color="000000" w:sz="4" w:space="0"/>
              <w:bottom w:val="single" w:color="000000" w:sz="4" w:space="0"/>
              <w:right w:val="single" w:color="000000" w:sz="4" w:space="0"/>
            </w:tcBorders>
            <w:vAlign w:val="center"/>
          </w:tcPr>
          <w:p w14:paraId="46D5C488">
            <w:pPr>
              <w:snapToGrid w:val="0"/>
              <w:jc w:val="center"/>
              <w:rPr>
                <w:rFonts w:hint="eastAsia" w:ascii="宋体" w:hAnsi="宋体" w:cs="宋体"/>
                <w:sz w:val="24"/>
              </w:rPr>
            </w:pPr>
            <w:r>
              <w:rPr>
                <w:rFonts w:hint="eastAsia" w:ascii="宋体" w:hAnsi="宋体" w:cs="宋体"/>
                <w:sz w:val="24"/>
              </w:rPr>
              <w:t>210000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11E16BE0">
            <w:pPr>
              <w:snapToGrid w:val="0"/>
              <w:jc w:val="center"/>
              <w:rPr>
                <w:rFonts w:hint="eastAsia" w:ascii="宋体" w:hAnsi="宋体" w:cs="宋体"/>
                <w:sz w:val="24"/>
              </w:rPr>
            </w:pPr>
            <w:r>
              <w:rPr>
                <w:rFonts w:hint="eastAsia" w:ascii="宋体" w:hAnsi="宋体" w:cs="宋体"/>
                <w:sz w:val="24"/>
              </w:rPr>
              <w:t>210000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F43B62">
            <w:pPr>
              <w:jc w:val="center"/>
              <w:rPr>
                <w:rFonts w:hint="eastAsia" w:ascii="宋体" w:hAnsi="宋体" w:cs="宋体"/>
                <w:sz w:val="24"/>
              </w:rPr>
            </w:pPr>
          </w:p>
        </w:tc>
      </w:tr>
      <w:tr w14:paraId="3393FCEA">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5F0086B4">
            <w:pPr>
              <w:snapToGrid w:val="0"/>
              <w:jc w:val="center"/>
              <w:rPr>
                <w:rFonts w:hint="eastAsia" w:ascii="宋体" w:hAnsi="宋体" w:cs="宋体"/>
                <w:sz w:val="24"/>
              </w:rPr>
            </w:pPr>
            <w:r>
              <w:rPr>
                <w:rFonts w:hint="eastAsia" w:ascii="宋体" w:hAnsi="宋体" w:cs="宋体"/>
                <w:sz w:val="24"/>
              </w:rPr>
              <w:t>8</w:t>
            </w:r>
          </w:p>
        </w:tc>
        <w:tc>
          <w:tcPr>
            <w:tcW w:w="2820" w:type="dxa"/>
            <w:tcBorders>
              <w:top w:val="single" w:color="000000" w:sz="4" w:space="0"/>
              <w:left w:val="single" w:color="000000" w:sz="4" w:space="0"/>
              <w:bottom w:val="single" w:color="000000" w:sz="4" w:space="0"/>
              <w:right w:val="single" w:color="000000" w:sz="4" w:space="0"/>
            </w:tcBorders>
            <w:vAlign w:val="center"/>
          </w:tcPr>
          <w:p w14:paraId="323C9E87">
            <w:pPr>
              <w:snapToGrid w:val="0"/>
              <w:jc w:val="center"/>
              <w:rPr>
                <w:rFonts w:hint="eastAsia" w:ascii="宋体" w:hAnsi="宋体" w:cs="宋体"/>
                <w:sz w:val="24"/>
              </w:rPr>
            </w:pPr>
            <w:r>
              <w:rPr>
                <w:rFonts w:hint="eastAsia" w:ascii="宋体" w:hAnsi="宋体" w:cs="宋体"/>
                <w:sz w:val="24"/>
              </w:rPr>
              <w:t>超纯水机</w:t>
            </w:r>
          </w:p>
        </w:tc>
        <w:tc>
          <w:tcPr>
            <w:tcW w:w="1200" w:type="dxa"/>
            <w:tcBorders>
              <w:top w:val="single" w:color="000000" w:sz="4" w:space="0"/>
              <w:left w:val="single" w:color="000000" w:sz="4" w:space="0"/>
              <w:bottom w:val="single" w:color="000000" w:sz="4" w:space="0"/>
              <w:right w:val="single" w:color="000000" w:sz="4" w:space="0"/>
            </w:tcBorders>
            <w:vAlign w:val="center"/>
          </w:tcPr>
          <w:p w14:paraId="5A9A738A">
            <w:pPr>
              <w:snapToGrid w:val="0"/>
              <w:jc w:val="center"/>
              <w:rPr>
                <w:rFonts w:hint="eastAsia" w:ascii="宋体" w:hAnsi="宋体" w:cs="宋体"/>
                <w:sz w:val="24"/>
              </w:rPr>
            </w:pPr>
            <w:r>
              <w:rPr>
                <w:rFonts w:hint="eastAsia" w:ascii="宋体" w:hAnsi="宋体" w:cs="宋体"/>
                <w:sz w:val="24"/>
              </w:rPr>
              <w:t>1</w:t>
            </w:r>
          </w:p>
        </w:tc>
        <w:tc>
          <w:tcPr>
            <w:tcW w:w="1635" w:type="dxa"/>
            <w:tcBorders>
              <w:top w:val="single" w:color="000000" w:sz="4" w:space="0"/>
              <w:left w:val="single" w:color="000000" w:sz="4" w:space="0"/>
              <w:bottom w:val="single" w:color="000000" w:sz="4" w:space="0"/>
              <w:right w:val="single" w:color="000000" w:sz="4" w:space="0"/>
            </w:tcBorders>
            <w:vAlign w:val="center"/>
          </w:tcPr>
          <w:p w14:paraId="724F4E72">
            <w:pPr>
              <w:snapToGrid w:val="0"/>
              <w:jc w:val="center"/>
              <w:rPr>
                <w:rFonts w:hint="eastAsia" w:ascii="宋体" w:hAnsi="宋体" w:cs="宋体"/>
                <w:sz w:val="24"/>
              </w:rPr>
            </w:pPr>
            <w:r>
              <w:rPr>
                <w:rFonts w:hint="eastAsia" w:ascii="宋体" w:hAnsi="宋体" w:cs="宋体"/>
                <w:sz w:val="24"/>
              </w:rPr>
              <w:t>19000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67815908">
            <w:pPr>
              <w:snapToGrid w:val="0"/>
              <w:jc w:val="center"/>
              <w:rPr>
                <w:rFonts w:hint="eastAsia" w:ascii="宋体" w:hAnsi="宋体" w:cs="宋体"/>
                <w:sz w:val="24"/>
              </w:rPr>
            </w:pPr>
            <w:r>
              <w:rPr>
                <w:rFonts w:hint="eastAsia" w:ascii="宋体" w:hAnsi="宋体" w:cs="宋体"/>
                <w:sz w:val="24"/>
              </w:rPr>
              <w:t>19000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417E37">
            <w:pPr>
              <w:jc w:val="center"/>
              <w:rPr>
                <w:rFonts w:hint="eastAsia" w:ascii="宋体" w:hAnsi="宋体" w:cs="宋体"/>
                <w:sz w:val="24"/>
              </w:rPr>
            </w:pPr>
          </w:p>
        </w:tc>
      </w:tr>
      <w:tr w14:paraId="6FEE80B8">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4F5A7D4A">
            <w:pPr>
              <w:snapToGrid w:val="0"/>
              <w:jc w:val="center"/>
              <w:rPr>
                <w:rFonts w:hint="eastAsia" w:ascii="宋体" w:hAnsi="宋体" w:cs="宋体"/>
                <w:sz w:val="24"/>
              </w:rPr>
            </w:pPr>
            <w:r>
              <w:rPr>
                <w:rFonts w:hint="eastAsia" w:ascii="宋体" w:hAnsi="宋体" w:cs="宋体"/>
                <w:sz w:val="24"/>
              </w:rPr>
              <w:t>9</w:t>
            </w:r>
          </w:p>
        </w:tc>
        <w:tc>
          <w:tcPr>
            <w:tcW w:w="2820" w:type="dxa"/>
            <w:tcBorders>
              <w:top w:val="single" w:color="000000" w:sz="4" w:space="0"/>
              <w:left w:val="single" w:color="000000" w:sz="4" w:space="0"/>
              <w:bottom w:val="single" w:color="000000" w:sz="4" w:space="0"/>
              <w:right w:val="single" w:color="000000" w:sz="4" w:space="0"/>
            </w:tcBorders>
            <w:vAlign w:val="center"/>
          </w:tcPr>
          <w:p w14:paraId="5D856961">
            <w:pPr>
              <w:snapToGrid w:val="0"/>
              <w:jc w:val="center"/>
              <w:rPr>
                <w:rFonts w:hint="eastAsia" w:ascii="宋体" w:hAnsi="宋体" w:cs="宋体"/>
                <w:sz w:val="24"/>
              </w:rPr>
            </w:pPr>
            <w:r>
              <w:rPr>
                <w:rFonts w:hint="eastAsia" w:ascii="宋体" w:hAnsi="宋体" w:cs="宋体"/>
                <w:sz w:val="24"/>
              </w:rPr>
              <w:t>便携式抽滤装置</w:t>
            </w:r>
          </w:p>
        </w:tc>
        <w:tc>
          <w:tcPr>
            <w:tcW w:w="1200" w:type="dxa"/>
            <w:tcBorders>
              <w:top w:val="single" w:color="000000" w:sz="4" w:space="0"/>
              <w:left w:val="single" w:color="000000" w:sz="4" w:space="0"/>
              <w:bottom w:val="single" w:color="000000" w:sz="4" w:space="0"/>
              <w:right w:val="single" w:color="000000" w:sz="4" w:space="0"/>
            </w:tcBorders>
            <w:vAlign w:val="center"/>
          </w:tcPr>
          <w:p w14:paraId="6228A4D9">
            <w:pPr>
              <w:snapToGrid w:val="0"/>
              <w:jc w:val="center"/>
              <w:rPr>
                <w:rFonts w:hint="eastAsia" w:ascii="宋体" w:hAnsi="宋体" w:cs="宋体"/>
                <w:sz w:val="24"/>
              </w:rPr>
            </w:pPr>
            <w:r>
              <w:rPr>
                <w:rFonts w:hint="eastAsia" w:ascii="宋体" w:hAnsi="宋体" w:cs="宋体"/>
                <w:sz w:val="24"/>
              </w:rPr>
              <w:t>4</w:t>
            </w:r>
          </w:p>
        </w:tc>
        <w:tc>
          <w:tcPr>
            <w:tcW w:w="1635" w:type="dxa"/>
            <w:tcBorders>
              <w:top w:val="single" w:color="000000" w:sz="4" w:space="0"/>
              <w:left w:val="single" w:color="000000" w:sz="4" w:space="0"/>
              <w:bottom w:val="single" w:color="000000" w:sz="4" w:space="0"/>
              <w:right w:val="single" w:color="000000" w:sz="4" w:space="0"/>
            </w:tcBorders>
            <w:vAlign w:val="center"/>
          </w:tcPr>
          <w:p w14:paraId="4C490747">
            <w:pPr>
              <w:snapToGrid w:val="0"/>
              <w:jc w:val="center"/>
              <w:rPr>
                <w:rFonts w:hint="eastAsia" w:ascii="宋体" w:hAnsi="宋体" w:cs="宋体"/>
                <w:sz w:val="24"/>
              </w:rPr>
            </w:pPr>
            <w:r>
              <w:rPr>
                <w:rFonts w:hint="eastAsia" w:ascii="宋体" w:hAnsi="宋体" w:cs="宋体"/>
                <w:sz w:val="24"/>
              </w:rPr>
              <w:t>8000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28A8FE98">
            <w:pPr>
              <w:snapToGrid w:val="0"/>
              <w:jc w:val="center"/>
              <w:rPr>
                <w:rFonts w:hint="eastAsia" w:ascii="宋体" w:hAnsi="宋体" w:cs="宋体"/>
                <w:sz w:val="24"/>
              </w:rPr>
            </w:pPr>
            <w:r>
              <w:rPr>
                <w:rFonts w:hint="eastAsia" w:ascii="宋体" w:hAnsi="宋体" w:cs="宋体"/>
                <w:sz w:val="24"/>
              </w:rPr>
              <w:t>32000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3BD1DA">
            <w:pPr>
              <w:jc w:val="center"/>
              <w:rPr>
                <w:rFonts w:hint="eastAsia" w:ascii="宋体" w:hAnsi="宋体" w:cs="宋体"/>
                <w:sz w:val="24"/>
              </w:rPr>
            </w:pPr>
          </w:p>
        </w:tc>
      </w:tr>
      <w:tr w14:paraId="5544578A">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2BCCFBAC">
            <w:pPr>
              <w:snapToGrid w:val="0"/>
              <w:jc w:val="center"/>
              <w:rPr>
                <w:rFonts w:hint="eastAsia" w:ascii="宋体" w:hAnsi="宋体" w:cs="宋体"/>
                <w:sz w:val="24"/>
              </w:rPr>
            </w:pPr>
            <w:r>
              <w:rPr>
                <w:rFonts w:hint="eastAsia" w:ascii="宋体" w:hAnsi="宋体" w:cs="宋体"/>
                <w:sz w:val="24"/>
              </w:rPr>
              <w:t>10</w:t>
            </w:r>
          </w:p>
        </w:tc>
        <w:tc>
          <w:tcPr>
            <w:tcW w:w="2820" w:type="dxa"/>
            <w:tcBorders>
              <w:top w:val="single" w:color="000000" w:sz="4" w:space="0"/>
              <w:left w:val="single" w:color="000000" w:sz="4" w:space="0"/>
              <w:bottom w:val="single" w:color="000000" w:sz="4" w:space="0"/>
              <w:right w:val="single" w:color="000000" w:sz="4" w:space="0"/>
            </w:tcBorders>
            <w:vAlign w:val="center"/>
          </w:tcPr>
          <w:p w14:paraId="71DFAD74">
            <w:pPr>
              <w:snapToGrid w:val="0"/>
              <w:jc w:val="center"/>
              <w:rPr>
                <w:rFonts w:hint="eastAsia" w:ascii="宋体" w:hAnsi="宋体" w:cs="宋体"/>
                <w:sz w:val="24"/>
              </w:rPr>
            </w:pPr>
            <w:r>
              <w:rPr>
                <w:rFonts w:hint="eastAsia" w:ascii="宋体" w:hAnsi="宋体" w:cs="宋体"/>
                <w:sz w:val="24"/>
              </w:rPr>
              <w:t>便携式离心机</w:t>
            </w:r>
          </w:p>
        </w:tc>
        <w:tc>
          <w:tcPr>
            <w:tcW w:w="1200" w:type="dxa"/>
            <w:tcBorders>
              <w:top w:val="single" w:color="000000" w:sz="4" w:space="0"/>
              <w:left w:val="single" w:color="000000" w:sz="4" w:space="0"/>
              <w:bottom w:val="single" w:color="000000" w:sz="4" w:space="0"/>
              <w:right w:val="single" w:color="000000" w:sz="4" w:space="0"/>
            </w:tcBorders>
            <w:vAlign w:val="center"/>
          </w:tcPr>
          <w:p w14:paraId="2D0E2F48">
            <w:pPr>
              <w:snapToGrid w:val="0"/>
              <w:jc w:val="center"/>
              <w:rPr>
                <w:rFonts w:hint="eastAsia" w:ascii="宋体" w:hAnsi="宋体" w:cs="宋体"/>
                <w:sz w:val="24"/>
              </w:rPr>
            </w:pPr>
            <w:r>
              <w:rPr>
                <w:rFonts w:hint="eastAsia" w:ascii="宋体" w:hAnsi="宋体" w:cs="宋体"/>
                <w:sz w:val="24"/>
              </w:rPr>
              <w:t>3</w:t>
            </w:r>
          </w:p>
        </w:tc>
        <w:tc>
          <w:tcPr>
            <w:tcW w:w="1635" w:type="dxa"/>
            <w:tcBorders>
              <w:top w:val="single" w:color="000000" w:sz="4" w:space="0"/>
              <w:left w:val="single" w:color="000000" w:sz="4" w:space="0"/>
              <w:bottom w:val="single" w:color="000000" w:sz="4" w:space="0"/>
              <w:right w:val="single" w:color="000000" w:sz="4" w:space="0"/>
            </w:tcBorders>
            <w:vAlign w:val="center"/>
          </w:tcPr>
          <w:p w14:paraId="1438A59D">
            <w:pPr>
              <w:snapToGrid w:val="0"/>
              <w:jc w:val="center"/>
              <w:rPr>
                <w:rFonts w:hint="eastAsia" w:ascii="宋体" w:hAnsi="宋体" w:cs="宋体"/>
                <w:sz w:val="24"/>
              </w:rPr>
            </w:pPr>
            <w:r>
              <w:rPr>
                <w:rFonts w:hint="eastAsia" w:ascii="宋体" w:hAnsi="宋体" w:cs="宋体"/>
                <w:sz w:val="24"/>
              </w:rPr>
              <w:t>7000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5C364450">
            <w:pPr>
              <w:snapToGrid w:val="0"/>
              <w:jc w:val="center"/>
              <w:rPr>
                <w:rFonts w:hint="eastAsia" w:ascii="宋体" w:hAnsi="宋体" w:cs="宋体"/>
                <w:sz w:val="24"/>
              </w:rPr>
            </w:pPr>
            <w:r>
              <w:rPr>
                <w:rFonts w:hint="eastAsia" w:ascii="宋体" w:hAnsi="宋体" w:cs="宋体"/>
                <w:sz w:val="24"/>
              </w:rPr>
              <w:t>21000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E78775">
            <w:pPr>
              <w:jc w:val="center"/>
              <w:rPr>
                <w:rFonts w:hint="eastAsia" w:ascii="宋体" w:hAnsi="宋体" w:cs="宋体"/>
                <w:sz w:val="24"/>
              </w:rPr>
            </w:pPr>
          </w:p>
        </w:tc>
      </w:tr>
      <w:tr w14:paraId="6779BD26">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39DF2046">
            <w:pPr>
              <w:snapToGrid w:val="0"/>
              <w:jc w:val="center"/>
              <w:rPr>
                <w:rFonts w:hint="eastAsia" w:ascii="宋体" w:hAnsi="宋体" w:cs="宋体"/>
                <w:sz w:val="24"/>
              </w:rPr>
            </w:pPr>
            <w:r>
              <w:rPr>
                <w:rFonts w:hint="eastAsia" w:ascii="宋体" w:hAnsi="宋体" w:cs="宋体"/>
                <w:sz w:val="24"/>
              </w:rPr>
              <w:t>11</w:t>
            </w:r>
          </w:p>
        </w:tc>
        <w:tc>
          <w:tcPr>
            <w:tcW w:w="2820" w:type="dxa"/>
            <w:tcBorders>
              <w:top w:val="single" w:color="000000" w:sz="4" w:space="0"/>
              <w:left w:val="single" w:color="000000" w:sz="4" w:space="0"/>
              <w:bottom w:val="single" w:color="000000" w:sz="4" w:space="0"/>
              <w:right w:val="single" w:color="000000" w:sz="4" w:space="0"/>
            </w:tcBorders>
            <w:vAlign w:val="center"/>
          </w:tcPr>
          <w:p w14:paraId="3FE600C9">
            <w:pPr>
              <w:snapToGrid w:val="0"/>
              <w:jc w:val="center"/>
              <w:rPr>
                <w:rFonts w:hint="eastAsia" w:ascii="宋体" w:hAnsi="宋体" w:cs="宋体"/>
                <w:sz w:val="24"/>
              </w:rPr>
            </w:pPr>
            <w:r>
              <w:rPr>
                <w:rFonts w:hint="eastAsia" w:ascii="宋体" w:hAnsi="宋体" w:cs="宋体"/>
                <w:sz w:val="24"/>
              </w:rPr>
              <w:t>红外分光测油仪</w:t>
            </w:r>
          </w:p>
        </w:tc>
        <w:tc>
          <w:tcPr>
            <w:tcW w:w="1200" w:type="dxa"/>
            <w:tcBorders>
              <w:top w:val="single" w:color="000000" w:sz="4" w:space="0"/>
              <w:left w:val="single" w:color="000000" w:sz="4" w:space="0"/>
              <w:bottom w:val="single" w:color="000000" w:sz="4" w:space="0"/>
              <w:right w:val="single" w:color="000000" w:sz="4" w:space="0"/>
            </w:tcBorders>
            <w:vAlign w:val="center"/>
          </w:tcPr>
          <w:p w14:paraId="75B8F350">
            <w:pPr>
              <w:snapToGrid w:val="0"/>
              <w:jc w:val="center"/>
              <w:rPr>
                <w:rFonts w:hint="eastAsia" w:ascii="宋体" w:hAnsi="宋体" w:cs="宋体"/>
                <w:sz w:val="24"/>
              </w:rPr>
            </w:pPr>
            <w:r>
              <w:rPr>
                <w:rFonts w:hint="eastAsia" w:ascii="宋体" w:hAnsi="宋体" w:cs="宋体"/>
                <w:sz w:val="24"/>
              </w:rPr>
              <w:t>1</w:t>
            </w:r>
          </w:p>
        </w:tc>
        <w:tc>
          <w:tcPr>
            <w:tcW w:w="1635" w:type="dxa"/>
            <w:tcBorders>
              <w:top w:val="single" w:color="000000" w:sz="4" w:space="0"/>
              <w:left w:val="single" w:color="000000" w:sz="4" w:space="0"/>
              <w:bottom w:val="single" w:color="000000" w:sz="4" w:space="0"/>
              <w:right w:val="single" w:color="000000" w:sz="4" w:space="0"/>
            </w:tcBorders>
            <w:vAlign w:val="center"/>
          </w:tcPr>
          <w:p w14:paraId="535B2B2A">
            <w:pPr>
              <w:snapToGrid w:val="0"/>
              <w:jc w:val="center"/>
              <w:rPr>
                <w:rFonts w:hint="eastAsia" w:ascii="宋体" w:hAnsi="宋体" w:cs="宋体"/>
                <w:sz w:val="24"/>
              </w:rPr>
            </w:pPr>
            <w:r>
              <w:rPr>
                <w:rFonts w:hint="eastAsia" w:ascii="宋体" w:hAnsi="宋体" w:cs="宋体"/>
                <w:sz w:val="24"/>
              </w:rPr>
              <w:t>45000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6B93C1B2">
            <w:pPr>
              <w:snapToGrid w:val="0"/>
              <w:jc w:val="center"/>
              <w:rPr>
                <w:rFonts w:hint="eastAsia" w:ascii="宋体" w:hAnsi="宋体" w:cs="宋体"/>
                <w:sz w:val="24"/>
              </w:rPr>
            </w:pPr>
            <w:r>
              <w:rPr>
                <w:rFonts w:hint="eastAsia" w:ascii="宋体" w:hAnsi="宋体" w:cs="宋体"/>
                <w:sz w:val="24"/>
              </w:rPr>
              <w:t>45000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7AC8E5">
            <w:pPr>
              <w:jc w:val="center"/>
              <w:rPr>
                <w:rFonts w:hint="eastAsia" w:ascii="宋体" w:hAnsi="宋体" w:cs="宋体"/>
                <w:sz w:val="24"/>
              </w:rPr>
            </w:pPr>
          </w:p>
        </w:tc>
      </w:tr>
      <w:tr w14:paraId="1D2CB785">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445A5157">
            <w:pPr>
              <w:snapToGrid w:val="0"/>
              <w:jc w:val="center"/>
              <w:rPr>
                <w:rFonts w:hint="eastAsia" w:ascii="宋体" w:hAnsi="宋体" w:cs="宋体"/>
                <w:sz w:val="24"/>
              </w:rPr>
            </w:pPr>
            <w:r>
              <w:rPr>
                <w:rFonts w:hint="eastAsia" w:ascii="宋体" w:hAnsi="宋体" w:cs="宋体"/>
                <w:sz w:val="24"/>
              </w:rPr>
              <w:t>12</w:t>
            </w:r>
          </w:p>
        </w:tc>
        <w:tc>
          <w:tcPr>
            <w:tcW w:w="2820" w:type="dxa"/>
            <w:tcBorders>
              <w:top w:val="single" w:color="000000" w:sz="4" w:space="0"/>
              <w:left w:val="single" w:color="000000" w:sz="4" w:space="0"/>
              <w:bottom w:val="single" w:color="000000" w:sz="4" w:space="0"/>
              <w:right w:val="single" w:color="000000" w:sz="4" w:space="0"/>
            </w:tcBorders>
            <w:vAlign w:val="center"/>
          </w:tcPr>
          <w:p w14:paraId="57EF5E15">
            <w:pPr>
              <w:snapToGrid w:val="0"/>
              <w:jc w:val="center"/>
              <w:rPr>
                <w:rFonts w:hint="eastAsia" w:ascii="宋体" w:hAnsi="宋体" w:cs="宋体"/>
                <w:sz w:val="24"/>
              </w:rPr>
            </w:pPr>
            <w:r>
              <w:rPr>
                <w:rFonts w:hint="eastAsia" w:ascii="宋体" w:hAnsi="宋体" w:cs="宋体"/>
                <w:sz w:val="24"/>
              </w:rPr>
              <w:t>多联不锈钢溶液过滤器</w:t>
            </w:r>
          </w:p>
        </w:tc>
        <w:tc>
          <w:tcPr>
            <w:tcW w:w="1200" w:type="dxa"/>
            <w:tcBorders>
              <w:top w:val="single" w:color="000000" w:sz="4" w:space="0"/>
              <w:left w:val="single" w:color="000000" w:sz="4" w:space="0"/>
              <w:bottom w:val="single" w:color="000000" w:sz="4" w:space="0"/>
              <w:right w:val="single" w:color="000000" w:sz="4" w:space="0"/>
            </w:tcBorders>
            <w:vAlign w:val="center"/>
          </w:tcPr>
          <w:p w14:paraId="14F91F8D">
            <w:pPr>
              <w:snapToGrid w:val="0"/>
              <w:jc w:val="center"/>
              <w:rPr>
                <w:rFonts w:hint="eastAsia" w:ascii="宋体" w:hAnsi="宋体" w:cs="宋体"/>
                <w:sz w:val="24"/>
              </w:rPr>
            </w:pPr>
            <w:r>
              <w:rPr>
                <w:rFonts w:hint="eastAsia" w:ascii="宋体" w:hAnsi="宋体" w:cs="宋体"/>
                <w:sz w:val="24"/>
              </w:rPr>
              <w:t>2</w:t>
            </w:r>
          </w:p>
        </w:tc>
        <w:tc>
          <w:tcPr>
            <w:tcW w:w="1635" w:type="dxa"/>
            <w:tcBorders>
              <w:top w:val="single" w:color="000000" w:sz="4" w:space="0"/>
              <w:left w:val="single" w:color="000000" w:sz="4" w:space="0"/>
              <w:bottom w:val="single" w:color="000000" w:sz="4" w:space="0"/>
              <w:right w:val="single" w:color="000000" w:sz="4" w:space="0"/>
            </w:tcBorders>
            <w:vAlign w:val="center"/>
          </w:tcPr>
          <w:p w14:paraId="343C287C">
            <w:pPr>
              <w:snapToGrid w:val="0"/>
              <w:jc w:val="center"/>
              <w:rPr>
                <w:rFonts w:hint="eastAsia" w:ascii="宋体" w:hAnsi="宋体" w:cs="宋体"/>
                <w:sz w:val="24"/>
              </w:rPr>
            </w:pPr>
            <w:r>
              <w:rPr>
                <w:rFonts w:hint="eastAsia" w:ascii="宋体" w:hAnsi="宋体" w:cs="宋体"/>
                <w:sz w:val="24"/>
              </w:rPr>
              <w:t>7700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02E9E2BC">
            <w:pPr>
              <w:snapToGrid w:val="0"/>
              <w:jc w:val="center"/>
              <w:rPr>
                <w:rFonts w:hint="eastAsia" w:ascii="宋体" w:hAnsi="宋体" w:cs="宋体"/>
                <w:sz w:val="24"/>
              </w:rPr>
            </w:pPr>
            <w:r>
              <w:rPr>
                <w:rFonts w:hint="eastAsia" w:ascii="宋体" w:hAnsi="宋体" w:cs="宋体"/>
                <w:sz w:val="24"/>
              </w:rPr>
              <w:t>15400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ABF6EC">
            <w:pPr>
              <w:jc w:val="center"/>
              <w:rPr>
                <w:rFonts w:hint="eastAsia" w:ascii="宋体" w:hAnsi="宋体" w:cs="宋体"/>
                <w:sz w:val="24"/>
              </w:rPr>
            </w:pPr>
          </w:p>
        </w:tc>
      </w:tr>
      <w:tr w14:paraId="3026A6F1">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5789367E">
            <w:pPr>
              <w:snapToGrid w:val="0"/>
              <w:jc w:val="center"/>
              <w:rPr>
                <w:rFonts w:hint="eastAsia" w:ascii="宋体" w:hAnsi="宋体" w:cs="宋体"/>
                <w:sz w:val="24"/>
              </w:rPr>
            </w:pPr>
            <w:r>
              <w:rPr>
                <w:rFonts w:hint="eastAsia" w:ascii="宋体" w:hAnsi="宋体" w:cs="宋体"/>
                <w:sz w:val="24"/>
              </w:rPr>
              <w:t>13</w:t>
            </w:r>
          </w:p>
        </w:tc>
        <w:tc>
          <w:tcPr>
            <w:tcW w:w="2820" w:type="dxa"/>
            <w:tcBorders>
              <w:top w:val="single" w:color="000000" w:sz="4" w:space="0"/>
              <w:left w:val="single" w:color="000000" w:sz="4" w:space="0"/>
              <w:bottom w:val="single" w:color="000000" w:sz="4" w:space="0"/>
              <w:right w:val="single" w:color="000000" w:sz="4" w:space="0"/>
            </w:tcBorders>
            <w:vAlign w:val="center"/>
          </w:tcPr>
          <w:p w14:paraId="45FC5D0F">
            <w:pPr>
              <w:snapToGrid w:val="0"/>
              <w:jc w:val="center"/>
              <w:rPr>
                <w:rFonts w:hint="eastAsia" w:ascii="宋体" w:hAnsi="宋体" w:cs="宋体"/>
                <w:sz w:val="24"/>
              </w:rPr>
            </w:pPr>
            <w:r>
              <w:rPr>
                <w:rFonts w:hint="eastAsia" w:ascii="宋体" w:hAnsi="宋体" w:cs="宋体"/>
                <w:sz w:val="24"/>
              </w:rPr>
              <w:t>实验室污水处理系统</w:t>
            </w:r>
          </w:p>
        </w:tc>
        <w:tc>
          <w:tcPr>
            <w:tcW w:w="1200" w:type="dxa"/>
            <w:tcBorders>
              <w:top w:val="single" w:color="000000" w:sz="4" w:space="0"/>
              <w:left w:val="single" w:color="000000" w:sz="4" w:space="0"/>
              <w:bottom w:val="single" w:color="000000" w:sz="4" w:space="0"/>
              <w:right w:val="single" w:color="000000" w:sz="4" w:space="0"/>
            </w:tcBorders>
            <w:vAlign w:val="center"/>
          </w:tcPr>
          <w:p w14:paraId="7D8AE7C1">
            <w:pPr>
              <w:snapToGrid w:val="0"/>
              <w:jc w:val="center"/>
              <w:rPr>
                <w:rFonts w:hint="eastAsia" w:ascii="宋体" w:hAnsi="宋体" w:cs="宋体"/>
                <w:sz w:val="24"/>
              </w:rPr>
            </w:pPr>
            <w:r>
              <w:rPr>
                <w:rFonts w:hint="eastAsia" w:ascii="宋体" w:hAnsi="宋体" w:cs="宋体"/>
                <w:sz w:val="24"/>
              </w:rPr>
              <w:t>1</w:t>
            </w:r>
          </w:p>
        </w:tc>
        <w:tc>
          <w:tcPr>
            <w:tcW w:w="1635" w:type="dxa"/>
            <w:tcBorders>
              <w:top w:val="single" w:color="000000" w:sz="4" w:space="0"/>
              <w:left w:val="single" w:color="000000" w:sz="4" w:space="0"/>
              <w:bottom w:val="single" w:color="000000" w:sz="4" w:space="0"/>
              <w:right w:val="single" w:color="000000" w:sz="4" w:space="0"/>
            </w:tcBorders>
            <w:vAlign w:val="center"/>
          </w:tcPr>
          <w:p w14:paraId="54E9D91D">
            <w:pPr>
              <w:snapToGrid w:val="0"/>
              <w:jc w:val="center"/>
              <w:rPr>
                <w:rFonts w:hint="eastAsia" w:ascii="宋体" w:hAnsi="宋体" w:cs="宋体"/>
                <w:sz w:val="24"/>
              </w:rPr>
            </w:pPr>
            <w:r>
              <w:rPr>
                <w:rFonts w:hint="eastAsia" w:ascii="宋体" w:hAnsi="宋体" w:cs="宋体"/>
                <w:sz w:val="24"/>
              </w:rPr>
              <w:t>170000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2A3B0D12">
            <w:pPr>
              <w:snapToGrid w:val="0"/>
              <w:jc w:val="center"/>
              <w:rPr>
                <w:rFonts w:hint="eastAsia" w:ascii="宋体" w:hAnsi="宋体" w:cs="宋体"/>
                <w:sz w:val="24"/>
              </w:rPr>
            </w:pPr>
            <w:r>
              <w:rPr>
                <w:rFonts w:hint="eastAsia" w:ascii="宋体" w:hAnsi="宋体" w:cs="宋体"/>
                <w:sz w:val="24"/>
              </w:rPr>
              <w:t>170000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7135B8">
            <w:pPr>
              <w:jc w:val="center"/>
              <w:rPr>
                <w:rFonts w:hint="eastAsia" w:ascii="宋体" w:hAnsi="宋体" w:cs="宋体"/>
                <w:sz w:val="24"/>
              </w:rPr>
            </w:pPr>
          </w:p>
        </w:tc>
      </w:tr>
      <w:tr w14:paraId="3E4B4317">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55DF2FE2">
            <w:pPr>
              <w:snapToGrid w:val="0"/>
              <w:jc w:val="center"/>
              <w:rPr>
                <w:rFonts w:hint="eastAsia" w:ascii="宋体" w:hAnsi="宋体" w:cs="宋体"/>
                <w:sz w:val="24"/>
              </w:rPr>
            </w:pPr>
            <w:r>
              <w:rPr>
                <w:rFonts w:hint="eastAsia" w:ascii="宋体" w:hAnsi="宋体" w:cs="宋体"/>
                <w:sz w:val="24"/>
              </w:rPr>
              <w:t>14</w:t>
            </w:r>
          </w:p>
        </w:tc>
        <w:tc>
          <w:tcPr>
            <w:tcW w:w="2820" w:type="dxa"/>
            <w:tcBorders>
              <w:top w:val="single" w:color="000000" w:sz="4" w:space="0"/>
              <w:left w:val="single" w:color="000000" w:sz="4" w:space="0"/>
              <w:bottom w:val="single" w:color="000000" w:sz="4" w:space="0"/>
              <w:right w:val="single" w:color="000000" w:sz="4" w:space="0"/>
            </w:tcBorders>
            <w:vAlign w:val="center"/>
          </w:tcPr>
          <w:p w14:paraId="6E3CE41D">
            <w:pPr>
              <w:snapToGrid w:val="0"/>
              <w:jc w:val="center"/>
              <w:rPr>
                <w:rFonts w:hint="eastAsia" w:ascii="宋体" w:hAnsi="宋体" w:cs="宋体"/>
                <w:sz w:val="24"/>
              </w:rPr>
            </w:pPr>
            <w:r>
              <w:rPr>
                <w:rFonts w:hint="eastAsia" w:ascii="宋体" w:hAnsi="宋体" w:cs="宋体"/>
                <w:sz w:val="24"/>
              </w:rPr>
              <w:t>全自动流动注射分析仪（包括氰化物、总磷、挥发酚、阴离子表面活性剂4个模块）</w:t>
            </w:r>
          </w:p>
        </w:tc>
        <w:tc>
          <w:tcPr>
            <w:tcW w:w="1200" w:type="dxa"/>
            <w:tcBorders>
              <w:top w:val="single" w:color="000000" w:sz="4" w:space="0"/>
              <w:left w:val="single" w:color="000000" w:sz="4" w:space="0"/>
              <w:bottom w:val="single" w:color="000000" w:sz="4" w:space="0"/>
              <w:right w:val="single" w:color="000000" w:sz="4" w:space="0"/>
            </w:tcBorders>
            <w:vAlign w:val="center"/>
          </w:tcPr>
          <w:p w14:paraId="310825C5">
            <w:pPr>
              <w:snapToGrid w:val="0"/>
              <w:jc w:val="center"/>
              <w:rPr>
                <w:rFonts w:hint="eastAsia" w:ascii="宋体" w:hAnsi="宋体" w:cs="宋体"/>
                <w:sz w:val="24"/>
              </w:rPr>
            </w:pPr>
            <w:r>
              <w:rPr>
                <w:rFonts w:hint="eastAsia" w:ascii="宋体" w:hAnsi="宋体" w:cs="宋体"/>
                <w:sz w:val="24"/>
              </w:rPr>
              <w:t>1</w:t>
            </w:r>
          </w:p>
        </w:tc>
        <w:tc>
          <w:tcPr>
            <w:tcW w:w="1635" w:type="dxa"/>
            <w:tcBorders>
              <w:top w:val="single" w:color="000000" w:sz="4" w:space="0"/>
              <w:left w:val="single" w:color="000000" w:sz="4" w:space="0"/>
              <w:bottom w:val="single" w:color="000000" w:sz="4" w:space="0"/>
              <w:right w:val="single" w:color="000000" w:sz="4" w:space="0"/>
            </w:tcBorders>
            <w:vAlign w:val="center"/>
          </w:tcPr>
          <w:p w14:paraId="209DCC83">
            <w:pPr>
              <w:snapToGrid w:val="0"/>
              <w:jc w:val="center"/>
              <w:rPr>
                <w:rFonts w:hint="eastAsia" w:ascii="宋体" w:hAnsi="宋体" w:cs="宋体"/>
                <w:sz w:val="24"/>
              </w:rPr>
            </w:pPr>
            <w:r>
              <w:rPr>
                <w:rFonts w:hint="eastAsia" w:ascii="宋体" w:hAnsi="宋体" w:cs="宋体"/>
                <w:sz w:val="24"/>
              </w:rPr>
              <w:t>480000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60BB7E2D">
            <w:pPr>
              <w:snapToGrid w:val="0"/>
              <w:jc w:val="center"/>
              <w:rPr>
                <w:rFonts w:hint="eastAsia" w:ascii="宋体" w:hAnsi="宋体" w:cs="宋体"/>
                <w:sz w:val="24"/>
              </w:rPr>
            </w:pPr>
            <w:r>
              <w:rPr>
                <w:rFonts w:hint="eastAsia" w:ascii="宋体" w:hAnsi="宋体" w:cs="宋体"/>
                <w:sz w:val="24"/>
              </w:rPr>
              <w:t>480000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E47438">
            <w:pPr>
              <w:jc w:val="center"/>
              <w:rPr>
                <w:rFonts w:hint="eastAsia" w:ascii="宋体" w:hAnsi="宋体" w:cs="宋体"/>
                <w:sz w:val="24"/>
              </w:rPr>
            </w:pPr>
          </w:p>
        </w:tc>
      </w:tr>
      <w:tr w14:paraId="2982692D">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68598C6A">
            <w:pPr>
              <w:snapToGrid w:val="0"/>
              <w:jc w:val="center"/>
              <w:rPr>
                <w:rFonts w:hint="eastAsia" w:ascii="宋体" w:hAnsi="宋体" w:cs="宋体"/>
                <w:sz w:val="24"/>
              </w:rPr>
            </w:pPr>
            <w:r>
              <w:rPr>
                <w:rFonts w:hint="eastAsia" w:ascii="宋体" w:hAnsi="宋体" w:cs="宋体"/>
                <w:sz w:val="24"/>
              </w:rPr>
              <w:t>15</w:t>
            </w:r>
          </w:p>
        </w:tc>
        <w:tc>
          <w:tcPr>
            <w:tcW w:w="2820" w:type="dxa"/>
            <w:tcBorders>
              <w:top w:val="single" w:color="000000" w:sz="4" w:space="0"/>
              <w:left w:val="single" w:color="000000" w:sz="4" w:space="0"/>
              <w:bottom w:val="single" w:color="000000" w:sz="4" w:space="0"/>
              <w:right w:val="single" w:color="000000" w:sz="4" w:space="0"/>
            </w:tcBorders>
            <w:vAlign w:val="center"/>
          </w:tcPr>
          <w:p w14:paraId="4E6CAE27">
            <w:pPr>
              <w:snapToGrid w:val="0"/>
              <w:jc w:val="center"/>
              <w:rPr>
                <w:rFonts w:hint="eastAsia" w:ascii="宋体" w:hAnsi="宋体" w:cs="宋体"/>
                <w:sz w:val="24"/>
              </w:rPr>
            </w:pPr>
            <w:r>
              <w:rPr>
                <w:rFonts w:hint="eastAsia" w:ascii="宋体" w:hAnsi="宋体" w:cs="宋体"/>
                <w:sz w:val="24"/>
              </w:rPr>
              <w:t>原子荧光分光光度计</w:t>
            </w:r>
          </w:p>
        </w:tc>
        <w:tc>
          <w:tcPr>
            <w:tcW w:w="1200" w:type="dxa"/>
            <w:tcBorders>
              <w:top w:val="single" w:color="000000" w:sz="4" w:space="0"/>
              <w:left w:val="single" w:color="000000" w:sz="4" w:space="0"/>
              <w:bottom w:val="single" w:color="000000" w:sz="4" w:space="0"/>
              <w:right w:val="single" w:color="000000" w:sz="4" w:space="0"/>
            </w:tcBorders>
            <w:vAlign w:val="center"/>
          </w:tcPr>
          <w:p w14:paraId="3A61DA5F">
            <w:pPr>
              <w:snapToGrid w:val="0"/>
              <w:jc w:val="center"/>
              <w:rPr>
                <w:rFonts w:hint="eastAsia" w:ascii="宋体" w:hAnsi="宋体" w:cs="宋体"/>
                <w:sz w:val="24"/>
              </w:rPr>
            </w:pPr>
            <w:r>
              <w:rPr>
                <w:rFonts w:hint="eastAsia" w:ascii="宋体" w:hAnsi="宋体" w:cs="宋体"/>
                <w:sz w:val="24"/>
              </w:rPr>
              <w:t>2</w:t>
            </w:r>
          </w:p>
        </w:tc>
        <w:tc>
          <w:tcPr>
            <w:tcW w:w="1635" w:type="dxa"/>
            <w:tcBorders>
              <w:top w:val="single" w:color="000000" w:sz="4" w:space="0"/>
              <w:left w:val="single" w:color="000000" w:sz="4" w:space="0"/>
              <w:bottom w:val="single" w:color="000000" w:sz="4" w:space="0"/>
              <w:right w:val="single" w:color="000000" w:sz="4" w:space="0"/>
            </w:tcBorders>
            <w:vAlign w:val="center"/>
          </w:tcPr>
          <w:p w14:paraId="57033DEF">
            <w:pPr>
              <w:snapToGrid w:val="0"/>
              <w:jc w:val="center"/>
              <w:rPr>
                <w:rFonts w:hint="eastAsia" w:ascii="宋体" w:hAnsi="宋体" w:cs="宋体"/>
                <w:sz w:val="24"/>
              </w:rPr>
            </w:pPr>
            <w:r>
              <w:rPr>
                <w:rFonts w:hint="eastAsia" w:ascii="宋体" w:hAnsi="宋体" w:cs="宋体"/>
                <w:sz w:val="24"/>
              </w:rPr>
              <w:t>130000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326BE858">
            <w:pPr>
              <w:snapToGrid w:val="0"/>
              <w:jc w:val="center"/>
              <w:rPr>
                <w:rFonts w:hint="eastAsia" w:ascii="宋体" w:hAnsi="宋体" w:cs="宋体"/>
                <w:sz w:val="24"/>
              </w:rPr>
            </w:pPr>
            <w:r>
              <w:rPr>
                <w:rFonts w:hint="eastAsia" w:ascii="宋体" w:hAnsi="宋体" w:cs="宋体"/>
                <w:sz w:val="24"/>
              </w:rPr>
              <w:t>260000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BD4EBC">
            <w:pPr>
              <w:jc w:val="center"/>
              <w:rPr>
                <w:rFonts w:hint="eastAsia" w:ascii="宋体" w:hAnsi="宋体" w:cs="宋体"/>
                <w:sz w:val="24"/>
              </w:rPr>
            </w:pPr>
          </w:p>
        </w:tc>
      </w:tr>
      <w:tr w14:paraId="284CD20E">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0B09A5F6">
            <w:pPr>
              <w:snapToGrid w:val="0"/>
              <w:jc w:val="center"/>
              <w:rPr>
                <w:rFonts w:hint="eastAsia" w:ascii="宋体" w:hAnsi="宋体" w:cs="宋体"/>
                <w:sz w:val="24"/>
              </w:rPr>
            </w:pPr>
            <w:r>
              <w:rPr>
                <w:rFonts w:hint="eastAsia" w:ascii="宋体" w:hAnsi="宋体" w:cs="宋体"/>
                <w:sz w:val="24"/>
              </w:rPr>
              <w:t>16</w:t>
            </w:r>
          </w:p>
        </w:tc>
        <w:tc>
          <w:tcPr>
            <w:tcW w:w="2820" w:type="dxa"/>
            <w:tcBorders>
              <w:top w:val="single" w:color="000000" w:sz="4" w:space="0"/>
              <w:left w:val="single" w:color="000000" w:sz="4" w:space="0"/>
              <w:bottom w:val="single" w:color="000000" w:sz="4" w:space="0"/>
              <w:right w:val="single" w:color="000000" w:sz="4" w:space="0"/>
            </w:tcBorders>
            <w:vAlign w:val="center"/>
          </w:tcPr>
          <w:p w14:paraId="0C309434">
            <w:pPr>
              <w:snapToGrid w:val="0"/>
              <w:jc w:val="center"/>
              <w:rPr>
                <w:rFonts w:hint="eastAsia" w:ascii="宋体" w:hAnsi="宋体" w:cs="宋体"/>
                <w:sz w:val="24"/>
              </w:rPr>
            </w:pPr>
            <w:r>
              <w:rPr>
                <w:rFonts w:hint="eastAsia" w:ascii="宋体" w:hAnsi="宋体" w:cs="宋体"/>
                <w:sz w:val="24"/>
              </w:rPr>
              <w:t>恒温恒湿称量设备（半自动）</w:t>
            </w:r>
          </w:p>
        </w:tc>
        <w:tc>
          <w:tcPr>
            <w:tcW w:w="1200" w:type="dxa"/>
            <w:tcBorders>
              <w:top w:val="single" w:color="000000" w:sz="4" w:space="0"/>
              <w:left w:val="single" w:color="000000" w:sz="4" w:space="0"/>
              <w:bottom w:val="single" w:color="000000" w:sz="4" w:space="0"/>
              <w:right w:val="single" w:color="000000" w:sz="4" w:space="0"/>
            </w:tcBorders>
            <w:vAlign w:val="center"/>
          </w:tcPr>
          <w:p w14:paraId="3EB24D75">
            <w:pPr>
              <w:snapToGrid w:val="0"/>
              <w:jc w:val="center"/>
              <w:rPr>
                <w:rFonts w:hint="eastAsia" w:ascii="宋体" w:hAnsi="宋体" w:cs="宋体"/>
                <w:sz w:val="24"/>
              </w:rPr>
            </w:pPr>
            <w:r>
              <w:rPr>
                <w:rFonts w:hint="eastAsia" w:ascii="宋体" w:hAnsi="宋体" w:cs="宋体"/>
                <w:sz w:val="24"/>
              </w:rPr>
              <w:t>1</w:t>
            </w:r>
          </w:p>
        </w:tc>
        <w:tc>
          <w:tcPr>
            <w:tcW w:w="1635" w:type="dxa"/>
            <w:tcBorders>
              <w:top w:val="single" w:color="000000" w:sz="4" w:space="0"/>
              <w:left w:val="single" w:color="000000" w:sz="4" w:space="0"/>
              <w:bottom w:val="single" w:color="000000" w:sz="4" w:space="0"/>
              <w:right w:val="single" w:color="000000" w:sz="4" w:space="0"/>
            </w:tcBorders>
            <w:vAlign w:val="center"/>
          </w:tcPr>
          <w:p w14:paraId="59524EAE">
            <w:pPr>
              <w:snapToGrid w:val="0"/>
              <w:jc w:val="center"/>
              <w:rPr>
                <w:rFonts w:hint="eastAsia" w:ascii="宋体" w:hAnsi="宋体" w:cs="宋体"/>
                <w:sz w:val="24"/>
              </w:rPr>
            </w:pPr>
            <w:r>
              <w:rPr>
                <w:rFonts w:hint="eastAsia" w:ascii="宋体" w:hAnsi="宋体" w:cs="宋体"/>
                <w:sz w:val="24"/>
              </w:rPr>
              <w:t>150000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45A1467F">
            <w:pPr>
              <w:snapToGrid w:val="0"/>
              <w:jc w:val="center"/>
              <w:rPr>
                <w:rFonts w:hint="eastAsia" w:ascii="宋体" w:hAnsi="宋体" w:cs="宋体"/>
                <w:sz w:val="24"/>
              </w:rPr>
            </w:pPr>
            <w:r>
              <w:rPr>
                <w:rFonts w:hint="eastAsia" w:ascii="宋体" w:hAnsi="宋体" w:cs="宋体"/>
                <w:sz w:val="24"/>
              </w:rPr>
              <w:t>150000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1A5572">
            <w:pPr>
              <w:jc w:val="center"/>
              <w:rPr>
                <w:rFonts w:hint="eastAsia" w:ascii="宋体" w:hAnsi="宋体" w:cs="宋体"/>
                <w:sz w:val="24"/>
              </w:rPr>
            </w:pPr>
          </w:p>
        </w:tc>
      </w:tr>
      <w:tr w14:paraId="6F7987F7">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26231C2F">
            <w:pPr>
              <w:snapToGrid w:val="0"/>
              <w:jc w:val="center"/>
              <w:rPr>
                <w:rFonts w:hint="eastAsia" w:ascii="宋体" w:hAnsi="宋体" w:cs="宋体"/>
                <w:sz w:val="24"/>
              </w:rPr>
            </w:pPr>
            <w:r>
              <w:rPr>
                <w:rFonts w:hint="eastAsia" w:ascii="宋体" w:hAnsi="宋体" w:cs="宋体"/>
                <w:sz w:val="24"/>
              </w:rPr>
              <w:t>17</w:t>
            </w:r>
          </w:p>
        </w:tc>
        <w:tc>
          <w:tcPr>
            <w:tcW w:w="2820" w:type="dxa"/>
            <w:tcBorders>
              <w:top w:val="single" w:color="000000" w:sz="4" w:space="0"/>
              <w:left w:val="single" w:color="000000" w:sz="4" w:space="0"/>
              <w:bottom w:val="single" w:color="000000" w:sz="4" w:space="0"/>
              <w:right w:val="single" w:color="000000" w:sz="4" w:space="0"/>
            </w:tcBorders>
            <w:vAlign w:val="center"/>
          </w:tcPr>
          <w:p w14:paraId="2BFCFA49">
            <w:pPr>
              <w:snapToGrid w:val="0"/>
              <w:jc w:val="center"/>
              <w:rPr>
                <w:rFonts w:hint="eastAsia" w:ascii="宋体" w:hAnsi="宋体" w:cs="宋体"/>
                <w:sz w:val="24"/>
              </w:rPr>
            </w:pPr>
            <w:r>
              <w:rPr>
                <w:rFonts w:hint="eastAsia" w:ascii="宋体" w:hAnsi="宋体" w:cs="宋体"/>
                <w:sz w:val="24"/>
              </w:rPr>
              <w:t>原子吸收光谱仪</w:t>
            </w:r>
          </w:p>
        </w:tc>
        <w:tc>
          <w:tcPr>
            <w:tcW w:w="1200" w:type="dxa"/>
            <w:tcBorders>
              <w:top w:val="single" w:color="000000" w:sz="4" w:space="0"/>
              <w:left w:val="single" w:color="000000" w:sz="4" w:space="0"/>
              <w:bottom w:val="single" w:color="000000" w:sz="4" w:space="0"/>
              <w:right w:val="single" w:color="000000" w:sz="4" w:space="0"/>
            </w:tcBorders>
            <w:vAlign w:val="center"/>
          </w:tcPr>
          <w:p w14:paraId="231A99BD">
            <w:pPr>
              <w:snapToGrid w:val="0"/>
              <w:jc w:val="center"/>
              <w:rPr>
                <w:rFonts w:hint="eastAsia" w:ascii="宋体" w:hAnsi="宋体" w:cs="宋体"/>
                <w:sz w:val="24"/>
              </w:rPr>
            </w:pPr>
            <w:r>
              <w:rPr>
                <w:rFonts w:hint="eastAsia" w:ascii="宋体" w:hAnsi="宋体" w:cs="宋体"/>
                <w:sz w:val="24"/>
              </w:rPr>
              <w:t>2</w:t>
            </w:r>
          </w:p>
        </w:tc>
        <w:tc>
          <w:tcPr>
            <w:tcW w:w="1635" w:type="dxa"/>
            <w:tcBorders>
              <w:top w:val="single" w:color="000000" w:sz="4" w:space="0"/>
              <w:left w:val="single" w:color="000000" w:sz="4" w:space="0"/>
              <w:bottom w:val="single" w:color="000000" w:sz="4" w:space="0"/>
              <w:right w:val="single" w:color="000000" w:sz="4" w:space="0"/>
            </w:tcBorders>
            <w:vAlign w:val="center"/>
          </w:tcPr>
          <w:p w14:paraId="4E88AB9F">
            <w:pPr>
              <w:snapToGrid w:val="0"/>
              <w:jc w:val="center"/>
              <w:rPr>
                <w:rFonts w:hint="eastAsia" w:ascii="宋体" w:hAnsi="宋体" w:cs="宋体"/>
                <w:sz w:val="24"/>
              </w:rPr>
            </w:pPr>
            <w:r>
              <w:rPr>
                <w:rFonts w:hint="eastAsia" w:ascii="宋体" w:hAnsi="宋体" w:cs="宋体"/>
                <w:sz w:val="24"/>
              </w:rPr>
              <w:t>320000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6C2CC2EF">
            <w:pPr>
              <w:snapToGrid w:val="0"/>
              <w:jc w:val="center"/>
              <w:rPr>
                <w:rFonts w:hint="eastAsia" w:ascii="宋体" w:hAnsi="宋体" w:cs="宋体"/>
                <w:sz w:val="24"/>
              </w:rPr>
            </w:pPr>
            <w:r>
              <w:rPr>
                <w:rFonts w:hint="eastAsia" w:ascii="宋体" w:hAnsi="宋体" w:cs="宋体"/>
                <w:sz w:val="24"/>
              </w:rPr>
              <w:t>640000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3F324E">
            <w:pPr>
              <w:jc w:val="center"/>
              <w:rPr>
                <w:rFonts w:hint="eastAsia" w:ascii="宋体" w:hAnsi="宋体" w:cs="宋体"/>
                <w:sz w:val="24"/>
              </w:rPr>
            </w:pPr>
          </w:p>
        </w:tc>
      </w:tr>
      <w:tr w14:paraId="5AE54F8A">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24620053">
            <w:pPr>
              <w:snapToGrid w:val="0"/>
              <w:jc w:val="center"/>
              <w:rPr>
                <w:rFonts w:hint="eastAsia" w:ascii="宋体" w:hAnsi="宋体" w:cs="宋体"/>
                <w:sz w:val="24"/>
              </w:rPr>
            </w:pPr>
            <w:r>
              <w:rPr>
                <w:rFonts w:hint="eastAsia" w:ascii="宋体" w:hAnsi="宋体" w:cs="宋体"/>
                <w:sz w:val="24"/>
              </w:rPr>
              <w:t>18</w:t>
            </w:r>
          </w:p>
        </w:tc>
        <w:tc>
          <w:tcPr>
            <w:tcW w:w="2820" w:type="dxa"/>
            <w:tcBorders>
              <w:top w:val="single" w:color="000000" w:sz="4" w:space="0"/>
              <w:left w:val="single" w:color="000000" w:sz="4" w:space="0"/>
              <w:bottom w:val="single" w:color="000000" w:sz="4" w:space="0"/>
              <w:right w:val="single" w:color="000000" w:sz="4" w:space="0"/>
            </w:tcBorders>
            <w:vAlign w:val="center"/>
          </w:tcPr>
          <w:p w14:paraId="5EB331B7">
            <w:pPr>
              <w:snapToGrid w:val="0"/>
              <w:jc w:val="center"/>
              <w:rPr>
                <w:rFonts w:hint="eastAsia" w:ascii="宋体" w:hAnsi="宋体" w:cs="宋体"/>
                <w:sz w:val="24"/>
              </w:rPr>
            </w:pPr>
            <w:r>
              <w:rPr>
                <w:rFonts w:hint="eastAsia" w:ascii="宋体" w:hAnsi="宋体" w:cs="宋体"/>
                <w:sz w:val="24"/>
              </w:rPr>
              <w:t>紫外可见分光光度计</w:t>
            </w:r>
          </w:p>
        </w:tc>
        <w:tc>
          <w:tcPr>
            <w:tcW w:w="1200" w:type="dxa"/>
            <w:tcBorders>
              <w:top w:val="single" w:color="000000" w:sz="4" w:space="0"/>
              <w:left w:val="single" w:color="000000" w:sz="4" w:space="0"/>
              <w:bottom w:val="single" w:color="000000" w:sz="4" w:space="0"/>
              <w:right w:val="single" w:color="000000" w:sz="4" w:space="0"/>
            </w:tcBorders>
            <w:vAlign w:val="center"/>
          </w:tcPr>
          <w:p w14:paraId="1B8710D9">
            <w:pPr>
              <w:snapToGrid w:val="0"/>
              <w:jc w:val="center"/>
              <w:rPr>
                <w:rFonts w:hint="eastAsia" w:ascii="宋体" w:hAnsi="宋体" w:cs="宋体"/>
                <w:sz w:val="24"/>
              </w:rPr>
            </w:pPr>
            <w:r>
              <w:rPr>
                <w:rFonts w:hint="eastAsia" w:ascii="宋体" w:hAnsi="宋体" w:cs="宋体"/>
                <w:sz w:val="24"/>
              </w:rPr>
              <w:t>1</w:t>
            </w:r>
          </w:p>
        </w:tc>
        <w:tc>
          <w:tcPr>
            <w:tcW w:w="1635" w:type="dxa"/>
            <w:tcBorders>
              <w:top w:val="single" w:color="000000" w:sz="4" w:space="0"/>
              <w:left w:val="single" w:color="000000" w:sz="4" w:space="0"/>
              <w:bottom w:val="single" w:color="000000" w:sz="4" w:space="0"/>
              <w:right w:val="single" w:color="000000" w:sz="4" w:space="0"/>
            </w:tcBorders>
            <w:vAlign w:val="center"/>
          </w:tcPr>
          <w:p w14:paraId="279E26BB">
            <w:pPr>
              <w:snapToGrid w:val="0"/>
              <w:jc w:val="center"/>
              <w:rPr>
                <w:rFonts w:hint="eastAsia" w:ascii="宋体" w:hAnsi="宋体" w:cs="宋体"/>
                <w:sz w:val="24"/>
              </w:rPr>
            </w:pPr>
            <w:r>
              <w:rPr>
                <w:rFonts w:hint="eastAsia" w:ascii="宋体" w:hAnsi="宋体" w:cs="宋体"/>
                <w:sz w:val="24"/>
              </w:rPr>
              <w:t>35000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79409BDD">
            <w:pPr>
              <w:snapToGrid w:val="0"/>
              <w:jc w:val="center"/>
              <w:rPr>
                <w:rFonts w:hint="eastAsia" w:ascii="宋体" w:hAnsi="宋体" w:cs="宋体"/>
                <w:sz w:val="24"/>
              </w:rPr>
            </w:pPr>
            <w:r>
              <w:rPr>
                <w:rFonts w:hint="eastAsia" w:ascii="宋体" w:hAnsi="宋体" w:cs="宋体"/>
                <w:sz w:val="24"/>
              </w:rPr>
              <w:t>35000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A85583">
            <w:pPr>
              <w:jc w:val="center"/>
              <w:rPr>
                <w:rFonts w:hint="eastAsia" w:ascii="宋体" w:hAnsi="宋体" w:cs="宋体"/>
                <w:sz w:val="24"/>
              </w:rPr>
            </w:pPr>
          </w:p>
        </w:tc>
      </w:tr>
      <w:tr w14:paraId="6B04EF8B">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2A294FE1">
            <w:pPr>
              <w:snapToGrid w:val="0"/>
              <w:jc w:val="center"/>
              <w:rPr>
                <w:rFonts w:hint="eastAsia" w:ascii="宋体" w:hAnsi="宋体" w:cs="宋体"/>
                <w:sz w:val="24"/>
              </w:rPr>
            </w:pPr>
            <w:r>
              <w:rPr>
                <w:rFonts w:hint="eastAsia" w:ascii="宋体" w:hAnsi="宋体" w:cs="宋体"/>
                <w:sz w:val="24"/>
              </w:rPr>
              <w:t>19</w:t>
            </w:r>
          </w:p>
        </w:tc>
        <w:tc>
          <w:tcPr>
            <w:tcW w:w="2820" w:type="dxa"/>
            <w:tcBorders>
              <w:top w:val="single" w:color="000000" w:sz="4" w:space="0"/>
              <w:left w:val="single" w:color="000000" w:sz="4" w:space="0"/>
              <w:bottom w:val="single" w:color="000000" w:sz="4" w:space="0"/>
              <w:right w:val="single" w:color="000000" w:sz="4" w:space="0"/>
            </w:tcBorders>
            <w:vAlign w:val="center"/>
          </w:tcPr>
          <w:p w14:paraId="0DEA300D">
            <w:pPr>
              <w:snapToGrid w:val="0"/>
              <w:jc w:val="center"/>
              <w:rPr>
                <w:rFonts w:hint="eastAsia" w:ascii="宋体" w:hAnsi="宋体" w:cs="宋体"/>
                <w:sz w:val="24"/>
              </w:rPr>
            </w:pPr>
            <w:r>
              <w:rPr>
                <w:rFonts w:hint="eastAsia" w:ascii="宋体" w:hAnsi="宋体" w:cs="宋体"/>
                <w:sz w:val="24"/>
              </w:rPr>
              <w:t>多功能声级计</w:t>
            </w:r>
          </w:p>
        </w:tc>
        <w:tc>
          <w:tcPr>
            <w:tcW w:w="1200" w:type="dxa"/>
            <w:tcBorders>
              <w:top w:val="single" w:color="000000" w:sz="4" w:space="0"/>
              <w:left w:val="single" w:color="000000" w:sz="4" w:space="0"/>
              <w:bottom w:val="single" w:color="000000" w:sz="4" w:space="0"/>
              <w:right w:val="single" w:color="000000" w:sz="4" w:space="0"/>
            </w:tcBorders>
            <w:vAlign w:val="center"/>
          </w:tcPr>
          <w:p w14:paraId="6C4216DF">
            <w:pPr>
              <w:snapToGrid w:val="0"/>
              <w:jc w:val="center"/>
              <w:rPr>
                <w:rFonts w:hint="eastAsia" w:ascii="宋体" w:hAnsi="宋体" w:cs="宋体"/>
                <w:sz w:val="24"/>
              </w:rPr>
            </w:pPr>
            <w:r>
              <w:rPr>
                <w:rFonts w:hint="eastAsia" w:ascii="宋体" w:hAnsi="宋体" w:cs="宋体"/>
                <w:sz w:val="24"/>
              </w:rPr>
              <w:t>18</w:t>
            </w:r>
          </w:p>
        </w:tc>
        <w:tc>
          <w:tcPr>
            <w:tcW w:w="1635" w:type="dxa"/>
            <w:tcBorders>
              <w:top w:val="single" w:color="000000" w:sz="4" w:space="0"/>
              <w:left w:val="single" w:color="000000" w:sz="4" w:space="0"/>
              <w:bottom w:val="single" w:color="000000" w:sz="4" w:space="0"/>
              <w:right w:val="single" w:color="000000" w:sz="4" w:space="0"/>
            </w:tcBorders>
            <w:vAlign w:val="center"/>
          </w:tcPr>
          <w:p w14:paraId="3E745309">
            <w:pPr>
              <w:snapToGrid w:val="0"/>
              <w:jc w:val="center"/>
              <w:rPr>
                <w:rFonts w:hint="eastAsia" w:ascii="宋体" w:hAnsi="宋体" w:cs="宋体"/>
                <w:sz w:val="24"/>
              </w:rPr>
            </w:pPr>
            <w:r>
              <w:rPr>
                <w:rFonts w:hint="eastAsia" w:ascii="宋体" w:hAnsi="宋体" w:cs="宋体"/>
                <w:sz w:val="24"/>
              </w:rPr>
              <w:t>12700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0FA25B03">
            <w:pPr>
              <w:snapToGrid w:val="0"/>
              <w:jc w:val="center"/>
              <w:rPr>
                <w:rFonts w:hint="eastAsia" w:ascii="宋体" w:hAnsi="宋体" w:cs="宋体"/>
                <w:sz w:val="24"/>
              </w:rPr>
            </w:pPr>
            <w:r>
              <w:rPr>
                <w:rFonts w:hint="eastAsia" w:ascii="宋体" w:hAnsi="宋体" w:cs="宋体"/>
                <w:sz w:val="24"/>
              </w:rPr>
              <w:t>228600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8A344A">
            <w:pPr>
              <w:jc w:val="center"/>
              <w:rPr>
                <w:rFonts w:hint="eastAsia" w:ascii="宋体" w:hAnsi="宋体" w:cs="宋体"/>
                <w:sz w:val="24"/>
              </w:rPr>
            </w:pPr>
          </w:p>
        </w:tc>
      </w:tr>
      <w:tr w14:paraId="1AFF35ED">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3766A095">
            <w:pPr>
              <w:snapToGrid w:val="0"/>
              <w:jc w:val="center"/>
              <w:rPr>
                <w:rFonts w:hint="eastAsia" w:ascii="宋体" w:hAnsi="宋体" w:cs="宋体"/>
                <w:sz w:val="24"/>
              </w:rPr>
            </w:pPr>
            <w:r>
              <w:rPr>
                <w:rFonts w:hint="eastAsia" w:ascii="宋体" w:hAnsi="宋体" w:cs="宋体"/>
                <w:sz w:val="24"/>
              </w:rPr>
              <w:t>20</w:t>
            </w:r>
          </w:p>
        </w:tc>
        <w:tc>
          <w:tcPr>
            <w:tcW w:w="2820" w:type="dxa"/>
            <w:tcBorders>
              <w:top w:val="single" w:color="000000" w:sz="4" w:space="0"/>
              <w:left w:val="single" w:color="000000" w:sz="4" w:space="0"/>
              <w:bottom w:val="single" w:color="000000" w:sz="4" w:space="0"/>
              <w:right w:val="single" w:color="000000" w:sz="4" w:space="0"/>
            </w:tcBorders>
            <w:vAlign w:val="center"/>
          </w:tcPr>
          <w:p w14:paraId="772B3BFB">
            <w:pPr>
              <w:snapToGrid w:val="0"/>
              <w:jc w:val="center"/>
              <w:rPr>
                <w:rFonts w:hint="eastAsia" w:ascii="宋体" w:hAnsi="宋体" w:cs="宋体"/>
                <w:sz w:val="24"/>
              </w:rPr>
            </w:pPr>
            <w:r>
              <w:rPr>
                <w:rFonts w:hint="eastAsia" w:ascii="宋体" w:hAnsi="宋体" w:cs="宋体"/>
                <w:sz w:val="24"/>
              </w:rPr>
              <w:t>声校准器</w:t>
            </w:r>
          </w:p>
        </w:tc>
        <w:tc>
          <w:tcPr>
            <w:tcW w:w="1200" w:type="dxa"/>
            <w:tcBorders>
              <w:top w:val="single" w:color="000000" w:sz="4" w:space="0"/>
              <w:left w:val="single" w:color="000000" w:sz="4" w:space="0"/>
              <w:bottom w:val="single" w:color="000000" w:sz="4" w:space="0"/>
              <w:right w:val="single" w:color="000000" w:sz="4" w:space="0"/>
            </w:tcBorders>
            <w:vAlign w:val="center"/>
          </w:tcPr>
          <w:p w14:paraId="50A913CE">
            <w:pPr>
              <w:snapToGrid w:val="0"/>
              <w:jc w:val="center"/>
              <w:rPr>
                <w:rFonts w:hint="eastAsia" w:ascii="宋体" w:hAnsi="宋体" w:cs="宋体"/>
                <w:sz w:val="24"/>
              </w:rPr>
            </w:pPr>
            <w:r>
              <w:rPr>
                <w:rFonts w:hint="eastAsia" w:ascii="宋体" w:hAnsi="宋体" w:cs="宋体"/>
                <w:sz w:val="24"/>
              </w:rPr>
              <w:t>1</w:t>
            </w:r>
          </w:p>
        </w:tc>
        <w:tc>
          <w:tcPr>
            <w:tcW w:w="1635" w:type="dxa"/>
            <w:tcBorders>
              <w:top w:val="single" w:color="000000" w:sz="4" w:space="0"/>
              <w:left w:val="single" w:color="000000" w:sz="4" w:space="0"/>
              <w:bottom w:val="single" w:color="000000" w:sz="4" w:space="0"/>
              <w:right w:val="single" w:color="000000" w:sz="4" w:space="0"/>
            </w:tcBorders>
            <w:vAlign w:val="center"/>
          </w:tcPr>
          <w:p w14:paraId="016996FD">
            <w:pPr>
              <w:snapToGrid w:val="0"/>
              <w:jc w:val="center"/>
              <w:rPr>
                <w:rFonts w:hint="eastAsia" w:ascii="宋体" w:hAnsi="宋体" w:cs="宋体"/>
                <w:sz w:val="24"/>
              </w:rPr>
            </w:pPr>
            <w:r>
              <w:rPr>
                <w:rFonts w:hint="eastAsia" w:ascii="宋体" w:hAnsi="宋体" w:cs="宋体"/>
                <w:sz w:val="24"/>
              </w:rPr>
              <w:t>2600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4AD21085">
            <w:pPr>
              <w:snapToGrid w:val="0"/>
              <w:jc w:val="center"/>
              <w:rPr>
                <w:rFonts w:hint="eastAsia" w:ascii="宋体" w:hAnsi="宋体" w:cs="宋体"/>
                <w:sz w:val="24"/>
              </w:rPr>
            </w:pPr>
            <w:r>
              <w:rPr>
                <w:rFonts w:hint="eastAsia" w:ascii="宋体" w:hAnsi="宋体" w:cs="宋体"/>
                <w:sz w:val="24"/>
              </w:rPr>
              <w:t>2600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D0A963">
            <w:pPr>
              <w:jc w:val="center"/>
              <w:rPr>
                <w:rFonts w:hint="eastAsia" w:ascii="宋体" w:hAnsi="宋体" w:cs="宋体"/>
                <w:sz w:val="24"/>
              </w:rPr>
            </w:pPr>
          </w:p>
        </w:tc>
      </w:tr>
      <w:tr w14:paraId="416DC478">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4BC47B6C">
            <w:pPr>
              <w:snapToGrid w:val="0"/>
              <w:jc w:val="center"/>
              <w:rPr>
                <w:rFonts w:hint="eastAsia" w:ascii="宋体" w:hAnsi="宋体" w:cs="宋体"/>
                <w:sz w:val="24"/>
              </w:rPr>
            </w:pPr>
            <w:r>
              <w:rPr>
                <w:rFonts w:hint="eastAsia" w:ascii="宋体" w:hAnsi="宋体" w:cs="宋体"/>
                <w:sz w:val="24"/>
              </w:rPr>
              <w:t>21</w:t>
            </w:r>
          </w:p>
        </w:tc>
        <w:tc>
          <w:tcPr>
            <w:tcW w:w="2820" w:type="dxa"/>
            <w:tcBorders>
              <w:top w:val="single" w:color="000000" w:sz="4" w:space="0"/>
              <w:left w:val="single" w:color="000000" w:sz="4" w:space="0"/>
              <w:bottom w:val="single" w:color="000000" w:sz="4" w:space="0"/>
              <w:right w:val="single" w:color="000000" w:sz="4" w:space="0"/>
            </w:tcBorders>
            <w:vAlign w:val="center"/>
          </w:tcPr>
          <w:p w14:paraId="4BBFAC29">
            <w:pPr>
              <w:snapToGrid w:val="0"/>
              <w:jc w:val="center"/>
              <w:rPr>
                <w:rFonts w:hint="eastAsia" w:ascii="宋体" w:hAnsi="宋体" w:cs="宋体"/>
                <w:sz w:val="24"/>
              </w:rPr>
            </w:pPr>
            <w:r>
              <w:rPr>
                <w:rFonts w:hint="eastAsia" w:ascii="宋体" w:hAnsi="宋体" w:cs="宋体"/>
                <w:sz w:val="24"/>
              </w:rPr>
              <w:t>高压灭菌锅</w:t>
            </w:r>
          </w:p>
        </w:tc>
        <w:tc>
          <w:tcPr>
            <w:tcW w:w="1200" w:type="dxa"/>
            <w:tcBorders>
              <w:top w:val="single" w:color="000000" w:sz="4" w:space="0"/>
              <w:left w:val="single" w:color="000000" w:sz="4" w:space="0"/>
              <w:bottom w:val="single" w:color="000000" w:sz="4" w:space="0"/>
              <w:right w:val="single" w:color="000000" w:sz="4" w:space="0"/>
            </w:tcBorders>
            <w:vAlign w:val="center"/>
          </w:tcPr>
          <w:p w14:paraId="133C7724">
            <w:pPr>
              <w:snapToGrid w:val="0"/>
              <w:jc w:val="center"/>
              <w:rPr>
                <w:rFonts w:hint="eastAsia" w:ascii="宋体" w:hAnsi="宋体" w:cs="宋体"/>
                <w:sz w:val="24"/>
              </w:rPr>
            </w:pPr>
            <w:r>
              <w:rPr>
                <w:rFonts w:hint="eastAsia" w:ascii="宋体" w:hAnsi="宋体" w:cs="宋体"/>
                <w:sz w:val="24"/>
              </w:rPr>
              <w:t>6</w:t>
            </w:r>
          </w:p>
        </w:tc>
        <w:tc>
          <w:tcPr>
            <w:tcW w:w="1635" w:type="dxa"/>
            <w:tcBorders>
              <w:top w:val="single" w:color="000000" w:sz="4" w:space="0"/>
              <w:left w:val="single" w:color="000000" w:sz="4" w:space="0"/>
              <w:bottom w:val="single" w:color="000000" w:sz="4" w:space="0"/>
              <w:right w:val="single" w:color="000000" w:sz="4" w:space="0"/>
            </w:tcBorders>
            <w:vAlign w:val="center"/>
          </w:tcPr>
          <w:p w14:paraId="11B3562E">
            <w:pPr>
              <w:snapToGrid w:val="0"/>
              <w:jc w:val="center"/>
              <w:rPr>
                <w:rFonts w:hint="eastAsia" w:ascii="宋体" w:hAnsi="宋体" w:cs="宋体"/>
                <w:sz w:val="24"/>
              </w:rPr>
            </w:pPr>
            <w:r>
              <w:rPr>
                <w:rFonts w:hint="eastAsia" w:ascii="宋体" w:hAnsi="宋体" w:cs="宋体"/>
                <w:sz w:val="24"/>
              </w:rPr>
              <w:t>5500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27FDDBBC">
            <w:pPr>
              <w:snapToGrid w:val="0"/>
              <w:jc w:val="center"/>
              <w:rPr>
                <w:rFonts w:hint="eastAsia" w:ascii="宋体" w:hAnsi="宋体" w:cs="宋体"/>
                <w:sz w:val="24"/>
              </w:rPr>
            </w:pPr>
            <w:r>
              <w:rPr>
                <w:rFonts w:hint="eastAsia" w:ascii="宋体" w:hAnsi="宋体" w:cs="宋体"/>
                <w:sz w:val="24"/>
              </w:rPr>
              <w:t>33000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E3778A">
            <w:pPr>
              <w:jc w:val="center"/>
              <w:rPr>
                <w:rFonts w:hint="eastAsia" w:ascii="宋体" w:hAnsi="宋体" w:cs="宋体"/>
                <w:sz w:val="24"/>
              </w:rPr>
            </w:pPr>
          </w:p>
        </w:tc>
      </w:tr>
      <w:tr w14:paraId="401ECF21">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2B17198B">
            <w:pPr>
              <w:snapToGrid w:val="0"/>
              <w:jc w:val="center"/>
              <w:rPr>
                <w:rFonts w:hint="eastAsia" w:ascii="宋体" w:hAnsi="宋体" w:cs="宋体"/>
                <w:sz w:val="24"/>
              </w:rPr>
            </w:pPr>
            <w:r>
              <w:rPr>
                <w:rFonts w:hint="eastAsia" w:ascii="宋体" w:hAnsi="宋体" w:cs="宋体"/>
                <w:sz w:val="24"/>
              </w:rPr>
              <w:t>22</w:t>
            </w:r>
          </w:p>
        </w:tc>
        <w:tc>
          <w:tcPr>
            <w:tcW w:w="2820" w:type="dxa"/>
            <w:tcBorders>
              <w:top w:val="single" w:color="000000" w:sz="4" w:space="0"/>
              <w:left w:val="single" w:color="000000" w:sz="4" w:space="0"/>
              <w:bottom w:val="single" w:color="000000" w:sz="4" w:space="0"/>
              <w:right w:val="single" w:color="000000" w:sz="4" w:space="0"/>
            </w:tcBorders>
            <w:vAlign w:val="center"/>
          </w:tcPr>
          <w:p w14:paraId="303BBD31">
            <w:pPr>
              <w:snapToGrid w:val="0"/>
              <w:jc w:val="center"/>
              <w:rPr>
                <w:rFonts w:hint="eastAsia" w:ascii="宋体" w:hAnsi="宋体" w:cs="宋体"/>
                <w:sz w:val="24"/>
              </w:rPr>
            </w:pPr>
            <w:r>
              <w:rPr>
                <w:rFonts w:hint="eastAsia" w:ascii="宋体" w:hAnsi="宋体" w:cs="宋体"/>
                <w:sz w:val="24"/>
              </w:rPr>
              <w:t>实验室专用冰箱</w:t>
            </w:r>
          </w:p>
        </w:tc>
        <w:tc>
          <w:tcPr>
            <w:tcW w:w="1200" w:type="dxa"/>
            <w:tcBorders>
              <w:top w:val="single" w:color="000000" w:sz="4" w:space="0"/>
              <w:left w:val="single" w:color="000000" w:sz="4" w:space="0"/>
              <w:bottom w:val="single" w:color="000000" w:sz="4" w:space="0"/>
              <w:right w:val="single" w:color="000000" w:sz="4" w:space="0"/>
            </w:tcBorders>
            <w:vAlign w:val="center"/>
          </w:tcPr>
          <w:p w14:paraId="7ED5D684">
            <w:pPr>
              <w:snapToGrid w:val="0"/>
              <w:jc w:val="center"/>
              <w:rPr>
                <w:rFonts w:hint="eastAsia" w:ascii="宋体" w:hAnsi="宋体" w:cs="宋体"/>
                <w:sz w:val="24"/>
              </w:rPr>
            </w:pPr>
            <w:r>
              <w:rPr>
                <w:rFonts w:hint="eastAsia" w:ascii="宋体" w:hAnsi="宋体" w:cs="宋体"/>
                <w:sz w:val="24"/>
              </w:rPr>
              <w:t>18</w:t>
            </w:r>
          </w:p>
        </w:tc>
        <w:tc>
          <w:tcPr>
            <w:tcW w:w="1635" w:type="dxa"/>
            <w:tcBorders>
              <w:top w:val="single" w:color="000000" w:sz="4" w:space="0"/>
              <w:left w:val="single" w:color="000000" w:sz="4" w:space="0"/>
              <w:bottom w:val="single" w:color="000000" w:sz="4" w:space="0"/>
              <w:right w:val="single" w:color="000000" w:sz="4" w:space="0"/>
            </w:tcBorders>
            <w:vAlign w:val="center"/>
          </w:tcPr>
          <w:p w14:paraId="6C937E5C">
            <w:pPr>
              <w:snapToGrid w:val="0"/>
              <w:jc w:val="center"/>
              <w:rPr>
                <w:rFonts w:hint="eastAsia" w:ascii="宋体" w:hAnsi="宋体" w:cs="宋体"/>
                <w:sz w:val="24"/>
              </w:rPr>
            </w:pPr>
            <w:r>
              <w:rPr>
                <w:rFonts w:hint="eastAsia" w:ascii="宋体" w:hAnsi="宋体" w:cs="宋体"/>
                <w:sz w:val="24"/>
              </w:rPr>
              <w:t>5000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71638BBA">
            <w:pPr>
              <w:snapToGrid w:val="0"/>
              <w:jc w:val="center"/>
              <w:rPr>
                <w:rFonts w:hint="eastAsia" w:ascii="宋体" w:hAnsi="宋体" w:cs="宋体"/>
                <w:sz w:val="24"/>
              </w:rPr>
            </w:pPr>
            <w:r>
              <w:rPr>
                <w:rFonts w:hint="eastAsia" w:ascii="宋体" w:hAnsi="宋体" w:cs="宋体"/>
                <w:sz w:val="24"/>
              </w:rPr>
              <w:t>90000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F4459A">
            <w:pPr>
              <w:jc w:val="center"/>
              <w:rPr>
                <w:rFonts w:hint="eastAsia" w:ascii="宋体" w:hAnsi="宋体" w:cs="宋体"/>
                <w:sz w:val="24"/>
              </w:rPr>
            </w:pPr>
          </w:p>
        </w:tc>
      </w:tr>
      <w:tr w14:paraId="4E4A572B">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78FD08F1">
            <w:pPr>
              <w:snapToGrid w:val="0"/>
              <w:jc w:val="center"/>
              <w:rPr>
                <w:rFonts w:hint="eastAsia" w:ascii="宋体" w:hAnsi="宋体" w:cs="宋体"/>
                <w:sz w:val="24"/>
              </w:rPr>
            </w:pPr>
            <w:r>
              <w:rPr>
                <w:rFonts w:hint="eastAsia" w:ascii="宋体" w:hAnsi="宋体" w:cs="宋体"/>
                <w:sz w:val="24"/>
              </w:rPr>
              <w:t>23</w:t>
            </w:r>
          </w:p>
        </w:tc>
        <w:tc>
          <w:tcPr>
            <w:tcW w:w="2820" w:type="dxa"/>
            <w:tcBorders>
              <w:top w:val="single" w:color="000000" w:sz="4" w:space="0"/>
              <w:left w:val="single" w:color="000000" w:sz="4" w:space="0"/>
              <w:bottom w:val="single" w:color="000000" w:sz="4" w:space="0"/>
              <w:right w:val="single" w:color="000000" w:sz="4" w:space="0"/>
            </w:tcBorders>
            <w:vAlign w:val="center"/>
          </w:tcPr>
          <w:p w14:paraId="1E4CEB3B">
            <w:pPr>
              <w:snapToGrid w:val="0"/>
              <w:jc w:val="center"/>
              <w:rPr>
                <w:rFonts w:hint="eastAsia" w:ascii="宋体" w:hAnsi="宋体" w:cs="宋体"/>
                <w:sz w:val="24"/>
              </w:rPr>
            </w:pPr>
            <w:r>
              <w:rPr>
                <w:rFonts w:hint="eastAsia" w:ascii="宋体" w:hAnsi="宋体" w:cs="宋体"/>
                <w:sz w:val="24"/>
              </w:rPr>
              <w:t>瓶口分液器</w:t>
            </w:r>
          </w:p>
        </w:tc>
        <w:tc>
          <w:tcPr>
            <w:tcW w:w="1200" w:type="dxa"/>
            <w:tcBorders>
              <w:top w:val="single" w:color="000000" w:sz="4" w:space="0"/>
              <w:left w:val="single" w:color="000000" w:sz="4" w:space="0"/>
              <w:bottom w:val="single" w:color="000000" w:sz="4" w:space="0"/>
              <w:right w:val="single" w:color="000000" w:sz="4" w:space="0"/>
            </w:tcBorders>
            <w:vAlign w:val="center"/>
          </w:tcPr>
          <w:p w14:paraId="07E8FCA5">
            <w:pPr>
              <w:snapToGrid w:val="0"/>
              <w:jc w:val="center"/>
              <w:rPr>
                <w:rFonts w:hint="eastAsia" w:ascii="宋体" w:hAnsi="宋体" w:cs="宋体"/>
                <w:sz w:val="24"/>
              </w:rPr>
            </w:pPr>
            <w:r>
              <w:rPr>
                <w:rFonts w:hint="eastAsia" w:ascii="宋体" w:hAnsi="宋体" w:cs="宋体"/>
                <w:sz w:val="24"/>
              </w:rPr>
              <w:t>2</w:t>
            </w:r>
          </w:p>
        </w:tc>
        <w:tc>
          <w:tcPr>
            <w:tcW w:w="1635" w:type="dxa"/>
            <w:tcBorders>
              <w:top w:val="single" w:color="000000" w:sz="4" w:space="0"/>
              <w:left w:val="single" w:color="000000" w:sz="4" w:space="0"/>
              <w:bottom w:val="single" w:color="000000" w:sz="4" w:space="0"/>
              <w:right w:val="single" w:color="000000" w:sz="4" w:space="0"/>
            </w:tcBorders>
            <w:vAlign w:val="center"/>
          </w:tcPr>
          <w:p w14:paraId="103100FD">
            <w:pPr>
              <w:snapToGrid w:val="0"/>
              <w:jc w:val="center"/>
              <w:rPr>
                <w:rFonts w:hint="eastAsia" w:ascii="宋体" w:hAnsi="宋体" w:cs="宋体"/>
                <w:sz w:val="24"/>
              </w:rPr>
            </w:pPr>
            <w:r>
              <w:rPr>
                <w:rFonts w:hint="eastAsia" w:ascii="宋体" w:hAnsi="宋体" w:cs="宋体"/>
                <w:sz w:val="24"/>
              </w:rPr>
              <w:t>3000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42FFA27B">
            <w:pPr>
              <w:snapToGrid w:val="0"/>
              <w:jc w:val="center"/>
              <w:rPr>
                <w:rFonts w:hint="eastAsia" w:ascii="宋体" w:hAnsi="宋体" w:cs="宋体"/>
                <w:sz w:val="24"/>
              </w:rPr>
            </w:pPr>
            <w:r>
              <w:rPr>
                <w:rFonts w:hint="eastAsia" w:ascii="宋体" w:hAnsi="宋体" w:cs="宋体"/>
                <w:sz w:val="24"/>
              </w:rPr>
              <w:t>6000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0927D7">
            <w:pPr>
              <w:jc w:val="center"/>
              <w:rPr>
                <w:rFonts w:hint="eastAsia" w:ascii="宋体" w:hAnsi="宋体" w:cs="宋体"/>
                <w:sz w:val="24"/>
              </w:rPr>
            </w:pPr>
          </w:p>
        </w:tc>
      </w:tr>
      <w:tr w14:paraId="778AB03B">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14FEF453">
            <w:pPr>
              <w:snapToGrid w:val="0"/>
              <w:jc w:val="center"/>
              <w:rPr>
                <w:rFonts w:hint="eastAsia" w:ascii="宋体" w:hAnsi="宋体" w:cs="宋体"/>
                <w:sz w:val="24"/>
              </w:rPr>
            </w:pPr>
            <w:r>
              <w:rPr>
                <w:rFonts w:hint="eastAsia" w:ascii="宋体" w:hAnsi="宋体" w:cs="宋体"/>
                <w:sz w:val="24"/>
              </w:rPr>
              <w:t>24</w:t>
            </w:r>
          </w:p>
        </w:tc>
        <w:tc>
          <w:tcPr>
            <w:tcW w:w="2820" w:type="dxa"/>
            <w:tcBorders>
              <w:top w:val="single" w:color="000000" w:sz="4" w:space="0"/>
              <w:left w:val="single" w:color="000000" w:sz="4" w:space="0"/>
              <w:bottom w:val="single" w:color="000000" w:sz="4" w:space="0"/>
              <w:right w:val="single" w:color="000000" w:sz="4" w:space="0"/>
            </w:tcBorders>
            <w:vAlign w:val="center"/>
          </w:tcPr>
          <w:p w14:paraId="13EFD69E">
            <w:pPr>
              <w:snapToGrid w:val="0"/>
              <w:jc w:val="center"/>
              <w:rPr>
                <w:rFonts w:hint="eastAsia" w:ascii="宋体" w:hAnsi="宋体" w:cs="宋体"/>
                <w:sz w:val="24"/>
              </w:rPr>
            </w:pPr>
            <w:r>
              <w:rPr>
                <w:rFonts w:hint="eastAsia" w:ascii="宋体" w:hAnsi="宋体" w:cs="宋体"/>
                <w:sz w:val="24"/>
              </w:rPr>
              <w:t>氟化物离子计</w:t>
            </w:r>
          </w:p>
        </w:tc>
        <w:tc>
          <w:tcPr>
            <w:tcW w:w="1200" w:type="dxa"/>
            <w:tcBorders>
              <w:top w:val="single" w:color="000000" w:sz="4" w:space="0"/>
              <w:left w:val="single" w:color="000000" w:sz="4" w:space="0"/>
              <w:bottom w:val="single" w:color="000000" w:sz="4" w:space="0"/>
              <w:right w:val="single" w:color="000000" w:sz="4" w:space="0"/>
            </w:tcBorders>
            <w:vAlign w:val="center"/>
          </w:tcPr>
          <w:p w14:paraId="7309234B">
            <w:pPr>
              <w:snapToGrid w:val="0"/>
              <w:jc w:val="center"/>
              <w:rPr>
                <w:rFonts w:hint="eastAsia" w:ascii="宋体" w:hAnsi="宋体" w:cs="宋体"/>
                <w:sz w:val="24"/>
              </w:rPr>
            </w:pPr>
            <w:r>
              <w:rPr>
                <w:rFonts w:hint="eastAsia" w:ascii="宋体" w:hAnsi="宋体" w:cs="宋体"/>
                <w:sz w:val="24"/>
              </w:rPr>
              <w:t>2</w:t>
            </w:r>
          </w:p>
        </w:tc>
        <w:tc>
          <w:tcPr>
            <w:tcW w:w="1635" w:type="dxa"/>
            <w:tcBorders>
              <w:top w:val="single" w:color="000000" w:sz="4" w:space="0"/>
              <w:left w:val="single" w:color="000000" w:sz="4" w:space="0"/>
              <w:bottom w:val="single" w:color="000000" w:sz="4" w:space="0"/>
              <w:right w:val="single" w:color="000000" w:sz="4" w:space="0"/>
            </w:tcBorders>
            <w:vAlign w:val="center"/>
          </w:tcPr>
          <w:p w14:paraId="409BE16B">
            <w:pPr>
              <w:snapToGrid w:val="0"/>
              <w:jc w:val="center"/>
              <w:rPr>
                <w:rFonts w:hint="eastAsia" w:ascii="宋体" w:hAnsi="宋体" w:cs="宋体"/>
                <w:sz w:val="24"/>
              </w:rPr>
            </w:pPr>
            <w:r>
              <w:rPr>
                <w:rFonts w:hint="eastAsia" w:ascii="宋体" w:hAnsi="宋体" w:cs="宋体"/>
                <w:sz w:val="24"/>
              </w:rPr>
              <w:t>5700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37239260">
            <w:pPr>
              <w:snapToGrid w:val="0"/>
              <w:jc w:val="center"/>
              <w:rPr>
                <w:rFonts w:hint="eastAsia" w:ascii="宋体" w:hAnsi="宋体" w:cs="宋体"/>
                <w:sz w:val="24"/>
              </w:rPr>
            </w:pPr>
            <w:r>
              <w:rPr>
                <w:rFonts w:hint="eastAsia" w:ascii="宋体" w:hAnsi="宋体" w:cs="宋体"/>
                <w:sz w:val="24"/>
              </w:rPr>
              <w:t>11400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B331CF">
            <w:pPr>
              <w:jc w:val="center"/>
              <w:rPr>
                <w:rFonts w:hint="eastAsia" w:ascii="宋体" w:hAnsi="宋体" w:cs="宋体"/>
                <w:sz w:val="24"/>
              </w:rPr>
            </w:pPr>
          </w:p>
        </w:tc>
      </w:tr>
      <w:tr w14:paraId="7CE8239F">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1E97C611">
            <w:pPr>
              <w:snapToGrid w:val="0"/>
              <w:jc w:val="center"/>
              <w:rPr>
                <w:rFonts w:hint="eastAsia" w:ascii="宋体" w:hAnsi="宋体" w:cs="宋体"/>
                <w:sz w:val="24"/>
              </w:rPr>
            </w:pPr>
            <w:r>
              <w:rPr>
                <w:rFonts w:hint="eastAsia" w:ascii="宋体" w:hAnsi="宋体" w:cs="宋体"/>
                <w:sz w:val="24"/>
              </w:rPr>
              <w:t>25</w:t>
            </w:r>
          </w:p>
        </w:tc>
        <w:tc>
          <w:tcPr>
            <w:tcW w:w="2820" w:type="dxa"/>
            <w:tcBorders>
              <w:top w:val="single" w:color="000000" w:sz="4" w:space="0"/>
              <w:left w:val="single" w:color="000000" w:sz="4" w:space="0"/>
              <w:bottom w:val="single" w:color="000000" w:sz="4" w:space="0"/>
              <w:right w:val="single" w:color="000000" w:sz="4" w:space="0"/>
            </w:tcBorders>
            <w:vAlign w:val="center"/>
          </w:tcPr>
          <w:p w14:paraId="3F962CC1">
            <w:pPr>
              <w:snapToGrid w:val="0"/>
              <w:jc w:val="center"/>
              <w:rPr>
                <w:rFonts w:hint="eastAsia" w:ascii="宋体" w:hAnsi="宋体" w:cs="宋体"/>
                <w:sz w:val="24"/>
              </w:rPr>
            </w:pPr>
            <w:r>
              <w:rPr>
                <w:rFonts w:hint="eastAsia" w:ascii="宋体" w:hAnsi="宋体" w:cs="宋体"/>
                <w:sz w:val="24"/>
              </w:rPr>
              <w:t>电热鼓风干燥箱</w:t>
            </w:r>
          </w:p>
        </w:tc>
        <w:tc>
          <w:tcPr>
            <w:tcW w:w="1200" w:type="dxa"/>
            <w:tcBorders>
              <w:top w:val="single" w:color="000000" w:sz="4" w:space="0"/>
              <w:left w:val="single" w:color="000000" w:sz="4" w:space="0"/>
              <w:bottom w:val="single" w:color="000000" w:sz="4" w:space="0"/>
              <w:right w:val="single" w:color="000000" w:sz="4" w:space="0"/>
            </w:tcBorders>
            <w:vAlign w:val="center"/>
          </w:tcPr>
          <w:p w14:paraId="7F3FB2E3">
            <w:pPr>
              <w:snapToGrid w:val="0"/>
              <w:jc w:val="center"/>
              <w:rPr>
                <w:rFonts w:hint="eastAsia" w:ascii="宋体" w:hAnsi="宋体" w:cs="宋体"/>
                <w:sz w:val="24"/>
              </w:rPr>
            </w:pPr>
            <w:r>
              <w:rPr>
                <w:rFonts w:hint="eastAsia" w:ascii="宋体" w:hAnsi="宋体" w:cs="宋体"/>
                <w:sz w:val="24"/>
              </w:rPr>
              <w:t>1</w:t>
            </w:r>
          </w:p>
        </w:tc>
        <w:tc>
          <w:tcPr>
            <w:tcW w:w="1635" w:type="dxa"/>
            <w:tcBorders>
              <w:top w:val="single" w:color="000000" w:sz="4" w:space="0"/>
              <w:left w:val="single" w:color="000000" w:sz="4" w:space="0"/>
              <w:bottom w:val="single" w:color="000000" w:sz="4" w:space="0"/>
              <w:right w:val="single" w:color="000000" w:sz="4" w:space="0"/>
            </w:tcBorders>
            <w:vAlign w:val="center"/>
          </w:tcPr>
          <w:p w14:paraId="49BEB94F">
            <w:pPr>
              <w:snapToGrid w:val="0"/>
              <w:jc w:val="center"/>
              <w:rPr>
                <w:rFonts w:hint="eastAsia" w:ascii="宋体" w:hAnsi="宋体" w:cs="宋体"/>
                <w:sz w:val="24"/>
              </w:rPr>
            </w:pPr>
            <w:r>
              <w:rPr>
                <w:rFonts w:hint="eastAsia" w:ascii="宋体" w:hAnsi="宋体" w:cs="宋体"/>
                <w:sz w:val="24"/>
              </w:rPr>
              <w:t>4000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34D7D581">
            <w:pPr>
              <w:snapToGrid w:val="0"/>
              <w:jc w:val="center"/>
              <w:rPr>
                <w:rFonts w:hint="eastAsia" w:ascii="宋体" w:hAnsi="宋体" w:cs="宋体"/>
                <w:sz w:val="24"/>
              </w:rPr>
            </w:pPr>
            <w:r>
              <w:rPr>
                <w:rFonts w:hint="eastAsia" w:ascii="宋体" w:hAnsi="宋体" w:cs="宋体"/>
                <w:sz w:val="24"/>
              </w:rPr>
              <w:t>4000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268C7B">
            <w:pPr>
              <w:jc w:val="center"/>
              <w:rPr>
                <w:rFonts w:hint="eastAsia" w:ascii="宋体" w:hAnsi="宋体" w:cs="宋体"/>
                <w:sz w:val="24"/>
              </w:rPr>
            </w:pPr>
          </w:p>
        </w:tc>
      </w:tr>
      <w:tr w14:paraId="0B43D873">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70AB7BE7">
            <w:pPr>
              <w:snapToGrid w:val="0"/>
              <w:jc w:val="center"/>
              <w:rPr>
                <w:rFonts w:hint="eastAsia" w:ascii="宋体" w:hAnsi="宋体" w:cs="宋体"/>
                <w:sz w:val="24"/>
              </w:rPr>
            </w:pPr>
            <w:r>
              <w:rPr>
                <w:rFonts w:hint="eastAsia" w:ascii="宋体" w:hAnsi="宋体" w:cs="宋体"/>
                <w:sz w:val="24"/>
              </w:rPr>
              <w:t>26</w:t>
            </w:r>
          </w:p>
        </w:tc>
        <w:tc>
          <w:tcPr>
            <w:tcW w:w="2820" w:type="dxa"/>
            <w:tcBorders>
              <w:top w:val="single" w:color="000000" w:sz="4" w:space="0"/>
              <w:left w:val="single" w:color="000000" w:sz="4" w:space="0"/>
              <w:bottom w:val="single" w:color="000000" w:sz="4" w:space="0"/>
              <w:right w:val="single" w:color="000000" w:sz="4" w:space="0"/>
            </w:tcBorders>
            <w:vAlign w:val="center"/>
          </w:tcPr>
          <w:p w14:paraId="7DBD318B">
            <w:pPr>
              <w:snapToGrid w:val="0"/>
              <w:jc w:val="center"/>
              <w:rPr>
                <w:rFonts w:hint="eastAsia" w:ascii="宋体" w:hAnsi="宋体" w:cs="宋体"/>
                <w:sz w:val="24"/>
              </w:rPr>
            </w:pPr>
            <w:r>
              <w:rPr>
                <w:rFonts w:hint="eastAsia" w:ascii="宋体" w:hAnsi="宋体" w:cs="宋体"/>
                <w:sz w:val="24"/>
              </w:rPr>
              <w:t>实验室台式离心机</w:t>
            </w:r>
          </w:p>
        </w:tc>
        <w:tc>
          <w:tcPr>
            <w:tcW w:w="1200" w:type="dxa"/>
            <w:tcBorders>
              <w:top w:val="single" w:color="000000" w:sz="4" w:space="0"/>
              <w:left w:val="single" w:color="000000" w:sz="4" w:space="0"/>
              <w:bottom w:val="single" w:color="000000" w:sz="4" w:space="0"/>
              <w:right w:val="single" w:color="000000" w:sz="4" w:space="0"/>
            </w:tcBorders>
            <w:vAlign w:val="center"/>
          </w:tcPr>
          <w:p w14:paraId="5E229F99">
            <w:pPr>
              <w:snapToGrid w:val="0"/>
              <w:jc w:val="center"/>
              <w:rPr>
                <w:rFonts w:hint="eastAsia" w:ascii="宋体" w:hAnsi="宋体" w:cs="宋体"/>
                <w:sz w:val="24"/>
              </w:rPr>
            </w:pPr>
            <w:r>
              <w:rPr>
                <w:rFonts w:hint="eastAsia" w:ascii="宋体" w:hAnsi="宋体" w:cs="宋体"/>
                <w:sz w:val="24"/>
              </w:rPr>
              <w:t>2</w:t>
            </w:r>
          </w:p>
        </w:tc>
        <w:tc>
          <w:tcPr>
            <w:tcW w:w="1635" w:type="dxa"/>
            <w:tcBorders>
              <w:top w:val="single" w:color="000000" w:sz="4" w:space="0"/>
              <w:left w:val="single" w:color="000000" w:sz="4" w:space="0"/>
              <w:bottom w:val="single" w:color="000000" w:sz="4" w:space="0"/>
              <w:right w:val="single" w:color="000000" w:sz="4" w:space="0"/>
            </w:tcBorders>
            <w:vAlign w:val="center"/>
          </w:tcPr>
          <w:p w14:paraId="7151A564">
            <w:pPr>
              <w:snapToGrid w:val="0"/>
              <w:jc w:val="center"/>
              <w:rPr>
                <w:rFonts w:hint="eastAsia" w:ascii="宋体" w:hAnsi="宋体" w:cs="宋体"/>
                <w:sz w:val="24"/>
              </w:rPr>
            </w:pPr>
            <w:r>
              <w:rPr>
                <w:rFonts w:hint="eastAsia" w:ascii="宋体" w:hAnsi="宋体" w:cs="宋体"/>
                <w:sz w:val="24"/>
              </w:rPr>
              <w:t>12000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6442F459">
            <w:pPr>
              <w:snapToGrid w:val="0"/>
              <w:jc w:val="center"/>
              <w:rPr>
                <w:rFonts w:hint="eastAsia" w:ascii="宋体" w:hAnsi="宋体" w:cs="宋体"/>
                <w:sz w:val="24"/>
              </w:rPr>
            </w:pPr>
            <w:r>
              <w:rPr>
                <w:rFonts w:hint="eastAsia" w:ascii="宋体" w:hAnsi="宋体" w:cs="宋体"/>
                <w:sz w:val="24"/>
              </w:rPr>
              <w:t>24000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A4E075">
            <w:pPr>
              <w:jc w:val="center"/>
              <w:rPr>
                <w:rFonts w:hint="eastAsia" w:ascii="宋体" w:hAnsi="宋体" w:cs="宋体"/>
                <w:sz w:val="24"/>
              </w:rPr>
            </w:pPr>
          </w:p>
        </w:tc>
      </w:tr>
      <w:tr w14:paraId="5A47A549">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44D375A4">
            <w:pPr>
              <w:snapToGrid w:val="0"/>
              <w:jc w:val="center"/>
              <w:rPr>
                <w:rFonts w:hint="eastAsia" w:ascii="宋体" w:hAnsi="宋体" w:cs="宋体"/>
                <w:sz w:val="24"/>
              </w:rPr>
            </w:pPr>
            <w:r>
              <w:rPr>
                <w:rFonts w:hint="eastAsia" w:ascii="宋体" w:hAnsi="宋体" w:cs="宋体"/>
                <w:sz w:val="24"/>
              </w:rPr>
              <w:t>27</w:t>
            </w:r>
          </w:p>
        </w:tc>
        <w:tc>
          <w:tcPr>
            <w:tcW w:w="2820" w:type="dxa"/>
            <w:tcBorders>
              <w:top w:val="single" w:color="000000" w:sz="4" w:space="0"/>
              <w:left w:val="single" w:color="000000" w:sz="4" w:space="0"/>
              <w:bottom w:val="single" w:color="000000" w:sz="4" w:space="0"/>
              <w:right w:val="single" w:color="000000" w:sz="4" w:space="0"/>
            </w:tcBorders>
            <w:vAlign w:val="center"/>
          </w:tcPr>
          <w:p w14:paraId="7F54E173">
            <w:pPr>
              <w:snapToGrid w:val="0"/>
              <w:jc w:val="center"/>
              <w:rPr>
                <w:rFonts w:hint="eastAsia" w:ascii="宋体" w:hAnsi="宋体" w:cs="宋体"/>
                <w:sz w:val="24"/>
              </w:rPr>
            </w:pPr>
            <w:r>
              <w:rPr>
                <w:rFonts w:hint="eastAsia" w:ascii="宋体" w:hAnsi="宋体" w:cs="宋体"/>
                <w:sz w:val="24"/>
              </w:rPr>
              <w:t>环境空气综合采样器</w:t>
            </w:r>
          </w:p>
        </w:tc>
        <w:tc>
          <w:tcPr>
            <w:tcW w:w="1200" w:type="dxa"/>
            <w:tcBorders>
              <w:top w:val="single" w:color="000000" w:sz="4" w:space="0"/>
              <w:left w:val="single" w:color="000000" w:sz="4" w:space="0"/>
              <w:bottom w:val="single" w:color="000000" w:sz="4" w:space="0"/>
              <w:right w:val="single" w:color="000000" w:sz="4" w:space="0"/>
            </w:tcBorders>
            <w:vAlign w:val="center"/>
          </w:tcPr>
          <w:p w14:paraId="765A06EA">
            <w:pPr>
              <w:snapToGrid w:val="0"/>
              <w:jc w:val="center"/>
              <w:rPr>
                <w:rFonts w:hint="eastAsia" w:ascii="宋体" w:hAnsi="宋体" w:cs="宋体"/>
                <w:sz w:val="24"/>
              </w:rPr>
            </w:pPr>
            <w:r>
              <w:rPr>
                <w:rFonts w:hint="eastAsia" w:ascii="宋体" w:hAnsi="宋体" w:cs="宋体"/>
                <w:sz w:val="24"/>
              </w:rPr>
              <w:t>14</w:t>
            </w:r>
          </w:p>
        </w:tc>
        <w:tc>
          <w:tcPr>
            <w:tcW w:w="1635" w:type="dxa"/>
            <w:tcBorders>
              <w:top w:val="single" w:color="000000" w:sz="4" w:space="0"/>
              <w:left w:val="single" w:color="000000" w:sz="4" w:space="0"/>
              <w:bottom w:val="single" w:color="000000" w:sz="4" w:space="0"/>
              <w:right w:val="single" w:color="000000" w:sz="4" w:space="0"/>
            </w:tcBorders>
            <w:vAlign w:val="center"/>
          </w:tcPr>
          <w:p w14:paraId="76C82EDF">
            <w:pPr>
              <w:snapToGrid w:val="0"/>
              <w:jc w:val="center"/>
              <w:rPr>
                <w:rFonts w:hint="eastAsia" w:ascii="宋体" w:hAnsi="宋体" w:cs="宋体"/>
                <w:sz w:val="24"/>
              </w:rPr>
            </w:pPr>
            <w:r>
              <w:rPr>
                <w:rFonts w:hint="eastAsia" w:ascii="宋体" w:hAnsi="宋体" w:cs="宋体"/>
                <w:sz w:val="24"/>
              </w:rPr>
              <w:t>13500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78BB288E">
            <w:pPr>
              <w:snapToGrid w:val="0"/>
              <w:jc w:val="center"/>
              <w:rPr>
                <w:rFonts w:hint="eastAsia" w:ascii="宋体" w:hAnsi="宋体" w:cs="宋体"/>
                <w:sz w:val="24"/>
              </w:rPr>
            </w:pPr>
            <w:r>
              <w:rPr>
                <w:rFonts w:hint="eastAsia" w:ascii="宋体" w:hAnsi="宋体" w:cs="宋体"/>
                <w:sz w:val="24"/>
              </w:rPr>
              <w:t>189000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0FC00E">
            <w:pPr>
              <w:jc w:val="center"/>
              <w:rPr>
                <w:rFonts w:hint="eastAsia" w:ascii="宋体" w:hAnsi="宋体" w:cs="宋体"/>
                <w:sz w:val="24"/>
              </w:rPr>
            </w:pPr>
          </w:p>
        </w:tc>
      </w:tr>
      <w:tr w14:paraId="70640DD7">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099CD74F">
            <w:pPr>
              <w:snapToGrid w:val="0"/>
              <w:jc w:val="center"/>
              <w:rPr>
                <w:rFonts w:hint="eastAsia" w:ascii="宋体" w:hAnsi="宋体" w:cs="宋体"/>
                <w:sz w:val="24"/>
              </w:rPr>
            </w:pPr>
            <w:r>
              <w:rPr>
                <w:rFonts w:hint="eastAsia" w:ascii="宋体" w:hAnsi="宋体" w:cs="宋体"/>
                <w:sz w:val="24"/>
              </w:rPr>
              <w:t>28</w:t>
            </w:r>
          </w:p>
        </w:tc>
        <w:tc>
          <w:tcPr>
            <w:tcW w:w="2820" w:type="dxa"/>
            <w:tcBorders>
              <w:top w:val="single" w:color="000000" w:sz="4" w:space="0"/>
              <w:left w:val="single" w:color="000000" w:sz="4" w:space="0"/>
              <w:bottom w:val="single" w:color="000000" w:sz="4" w:space="0"/>
              <w:right w:val="single" w:color="000000" w:sz="4" w:space="0"/>
            </w:tcBorders>
            <w:vAlign w:val="center"/>
          </w:tcPr>
          <w:p w14:paraId="60FCB9DA">
            <w:pPr>
              <w:snapToGrid w:val="0"/>
              <w:jc w:val="center"/>
              <w:rPr>
                <w:rFonts w:hint="eastAsia" w:ascii="宋体" w:hAnsi="宋体" w:cs="宋体"/>
                <w:sz w:val="24"/>
              </w:rPr>
            </w:pPr>
            <w:r>
              <w:rPr>
                <w:rFonts w:hint="eastAsia" w:ascii="宋体" w:hAnsi="宋体" w:cs="宋体"/>
                <w:sz w:val="24"/>
              </w:rPr>
              <w:t>便携式多参数水质分析仪（水温、ph、电导率、溶解氧、浊度）</w:t>
            </w:r>
          </w:p>
        </w:tc>
        <w:tc>
          <w:tcPr>
            <w:tcW w:w="1200" w:type="dxa"/>
            <w:tcBorders>
              <w:top w:val="single" w:color="000000" w:sz="4" w:space="0"/>
              <w:left w:val="single" w:color="000000" w:sz="4" w:space="0"/>
              <w:bottom w:val="single" w:color="000000" w:sz="4" w:space="0"/>
              <w:right w:val="single" w:color="000000" w:sz="4" w:space="0"/>
            </w:tcBorders>
            <w:vAlign w:val="center"/>
          </w:tcPr>
          <w:p w14:paraId="5A72DD53">
            <w:pPr>
              <w:snapToGrid w:val="0"/>
              <w:jc w:val="center"/>
              <w:rPr>
                <w:rFonts w:hint="eastAsia" w:ascii="宋体" w:hAnsi="宋体" w:cs="宋体"/>
                <w:sz w:val="24"/>
              </w:rPr>
            </w:pPr>
            <w:r>
              <w:rPr>
                <w:rFonts w:hint="eastAsia" w:ascii="宋体" w:hAnsi="宋体" w:cs="宋体"/>
                <w:sz w:val="24"/>
              </w:rPr>
              <w:t>4</w:t>
            </w:r>
          </w:p>
        </w:tc>
        <w:tc>
          <w:tcPr>
            <w:tcW w:w="1635" w:type="dxa"/>
            <w:tcBorders>
              <w:top w:val="single" w:color="000000" w:sz="4" w:space="0"/>
              <w:left w:val="single" w:color="000000" w:sz="4" w:space="0"/>
              <w:bottom w:val="single" w:color="000000" w:sz="4" w:space="0"/>
              <w:right w:val="single" w:color="000000" w:sz="4" w:space="0"/>
            </w:tcBorders>
            <w:vAlign w:val="center"/>
          </w:tcPr>
          <w:p w14:paraId="03A1A008">
            <w:pPr>
              <w:snapToGrid w:val="0"/>
              <w:jc w:val="center"/>
              <w:rPr>
                <w:rFonts w:hint="eastAsia" w:ascii="宋体" w:hAnsi="宋体" w:cs="宋体"/>
                <w:sz w:val="24"/>
              </w:rPr>
            </w:pPr>
            <w:r>
              <w:rPr>
                <w:rFonts w:hint="eastAsia" w:ascii="宋体" w:hAnsi="宋体" w:cs="宋体"/>
                <w:sz w:val="24"/>
              </w:rPr>
              <w:t>15000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6A851571">
            <w:pPr>
              <w:snapToGrid w:val="0"/>
              <w:jc w:val="center"/>
              <w:rPr>
                <w:rFonts w:hint="eastAsia" w:ascii="宋体" w:hAnsi="宋体" w:cs="宋体"/>
                <w:sz w:val="24"/>
              </w:rPr>
            </w:pPr>
            <w:r>
              <w:rPr>
                <w:rFonts w:hint="eastAsia" w:ascii="宋体" w:hAnsi="宋体" w:cs="宋体"/>
                <w:sz w:val="24"/>
              </w:rPr>
              <w:t>60000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947548">
            <w:pPr>
              <w:jc w:val="center"/>
              <w:rPr>
                <w:rFonts w:hint="eastAsia" w:ascii="宋体" w:hAnsi="宋体" w:cs="宋体"/>
                <w:sz w:val="24"/>
              </w:rPr>
            </w:pPr>
          </w:p>
        </w:tc>
      </w:tr>
      <w:tr w14:paraId="7E8C7110">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4973E445">
            <w:pPr>
              <w:snapToGrid w:val="0"/>
              <w:jc w:val="center"/>
              <w:rPr>
                <w:rFonts w:hint="eastAsia" w:ascii="宋体" w:hAnsi="宋体" w:cs="宋体"/>
                <w:sz w:val="24"/>
              </w:rPr>
            </w:pPr>
            <w:r>
              <w:rPr>
                <w:rFonts w:hint="eastAsia" w:ascii="宋体" w:hAnsi="宋体" w:cs="宋体"/>
                <w:sz w:val="24"/>
              </w:rPr>
              <w:t>29</w:t>
            </w:r>
          </w:p>
        </w:tc>
        <w:tc>
          <w:tcPr>
            <w:tcW w:w="2820" w:type="dxa"/>
            <w:tcBorders>
              <w:top w:val="single" w:color="000000" w:sz="4" w:space="0"/>
              <w:left w:val="single" w:color="000000" w:sz="4" w:space="0"/>
              <w:bottom w:val="single" w:color="000000" w:sz="4" w:space="0"/>
              <w:right w:val="single" w:color="000000" w:sz="4" w:space="0"/>
            </w:tcBorders>
            <w:vAlign w:val="center"/>
          </w:tcPr>
          <w:p w14:paraId="7E090BF2">
            <w:pPr>
              <w:snapToGrid w:val="0"/>
              <w:jc w:val="center"/>
              <w:rPr>
                <w:rFonts w:hint="eastAsia" w:ascii="宋体" w:hAnsi="宋体" w:cs="宋体"/>
                <w:sz w:val="24"/>
              </w:rPr>
            </w:pPr>
            <w:r>
              <w:rPr>
                <w:rFonts w:hint="eastAsia" w:ascii="宋体" w:hAnsi="宋体" w:cs="宋体"/>
                <w:sz w:val="24"/>
              </w:rPr>
              <w:t>万分之一分析天平</w:t>
            </w:r>
          </w:p>
        </w:tc>
        <w:tc>
          <w:tcPr>
            <w:tcW w:w="1200" w:type="dxa"/>
            <w:tcBorders>
              <w:top w:val="single" w:color="000000" w:sz="4" w:space="0"/>
              <w:left w:val="single" w:color="000000" w:sz="4" w:space="0"/>
              <w:bottom w:val="single" w:color="000000" w:sz="4" w:space="0"/>
              <w:right w:val="single" w:color="000000" w:sz="4" w:space="0"/>
            </w:tcBorders>
            <w:vAlign w:val="center"/>
          </w:tcPr>
          <w:p w14:paraId="3C1C3DCC">
            <w:pPr>
              <w:snapToGrid w:val="0"/>
              <w:jc w:val="center"/>
              <w:rPr>
                <w:rFonts w:hint="eastAsia" w:ascii="宋体" w:hAnsi="宋体" w:cs="宋体"/>
                <w:sz w:val="24"/>
              </w:rPr>
            </w:pPr>
            <w:r>
              <w:rPr>
                <w:rFonts w:hint="eastAsia" w:ascii="宋体" w:hAnsi="宋体" w:cs="宋体"/>
                <w:sz w:val="24"/>
              </w:rPr>
              <w:t>1</w:t>
            </w:r>
          </w:p>
        </w:tc>
        <w:tc>
          <w:tcPr>
            <w:tcW w:w="1635" w:type="dxa"/>
            <w:tcBorders>
              <w:top w:val="single" w:color="000000" w:sz="4" w:space="0"/>
              <w:left w:val="single" w:color="000000" w:sz="4" w:space="0"/>
              <w:bottom w:val="single" w:color="000000" w:sz="4" w:space="0"/>
              <w:right w:val="single" w:color="000000" w:sz="4" w:space="0"/>
            </w:tcBorders>
            <w:vAlign w:val="center"/>
          </w:tcPr>
          <w:p w14:paraId="227B90C1">
            <w:pPr>
              <w:snapToGrid w:val="0"/>
              <w:jc w:val="center"/>
              <w:rPr>
                <w:rFonts w:hint="eastAsia" w:ascii="宋体" w:hAnsi="宋体" w:cs="宋体"/>
                <w:sz w:val="24"/>
              </w:rPr>
            </w:pPr>
            <w:r>
              <w:rPr>
                <w:rFonts w:hint="eastAsia" w:ascii="宋体" w:hAnsi="宋体" w:cs="宋体"/>
                <w:sz w:val="24"/>
              </w:rPr>
              <w:t>12000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796D0730">
            <w:pPr>
              <w:snapToGrid w:val="0"/>
              <w:jc w:val="center"/>
              <w:rPr>
                <w:rFonts w:hint="eastAsia" w:ascii="宋体" w:hAnsi="宋体" w:cs="宋体"/>
                <w:sz w:val="24"/>
              </w:rPr>
            </w:pPr>
            <w:r>
              <w:rPr>
                <w:rFonts w:hint="eastAsia" w:ascii="宋体" w:hAnsi="宋体" w:cs="宋体"/>
                <w:sz w:val="24"/>
              </w:rPr>
              <w:t>12000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B9BCCA">
            <w:pPr>
              <w:jc w:val="center"/>
              <w:rPr>
                <w:rFonts w:hint="eastAsia" w:ascii="宋体" w:hAnsi="宋体" w:cs="宋体"/>
                <w:sz w:val="24"/>
              </w:rPr>
            </w:pPr>
          </w:p>
        </w:tc>
      </w:tr>
      <w:tr w14:paraId="33731774">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6CDA714A">
            <w:pPr>
              <w:snapToGrid w:val="0"/>
              <w:jc w:val="center"/>
              <w:rPr>
                <w:rFonts w:hint="eastAsia" w:ascii="宋体" w:hAnsi="宋体" w:cs="宋体"/>
                <w:sz w:val="24"/>
              </w:rPr>
            </w:pPr>
            <w:r>
              <w:rPr>
                <w:rFonts w:hint="eastAsia" w:ascii="宋体" w:hAnsi="宋体" w:cs="宋体"/>
                <w:sz w:val="24"/>
              </w:rPr>
              <w:t>30</w:t>
            </w:r>
          </w:p>
        </w:tc>
        <w:tc>
          <w:tcPr>
            <w:tcW w:w="2820" w:type="dxa"/>
            <w:tcBorders>
              <w:top w:val="single" w:color="000000" w:sz="4" w:space="0"/>
              <w:left w:val="single" w:color="000000" w:sz="4" w:space="0"/>
              <w:bottom w:val="single" w:color="000000" w:sz="4" w:space="0"/>
              <w:right w:val="single" w:color="000000" w:sz="4" w:space="0"/>
            </w:tcBorders>
            <w:vAlign w:val="center"/>
          </w:tcPr>
          <w:p w14:paraId="1339151A">
            <w:pPr>
              <w:snapToGrid w:val="0"/>
              <w:jc w:val="center"/>
              <w:rPr>
                <w:rFonts w:hint="eastAsia" w:ascii="宋体" w:hAnsi="宋体" w:cs="宋体"/>
                <w:sz w:val="24"/>
              </w:rPr>
            </w:pPr>
            <w:r>
              <w:rPr>
                <w:rFonts w:hint="eastAsia" w:ascii="宋体" w:hAnsi="宋体" w:cs="宋体"/>
                <w:sz w:val="24"/>
              </w:rPr>
              <w:t>智能高精度综合校准仪</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FEB4B9B">
            <w:pPr>
              <w:snapToGrid w:val="0"/>
              <w:jc w:val="center"/>
              <w:rPr>
                <w:rFonts w:hint="eastAsia" w:ascii="宋体" w:hAnsi="宋体" w:cs="宋体"/>
                <w:sz w:val="24"/>
              </w:rPr>
            </w:pPr>
            <w:r>
              <w:rPr>
                <w:rFonts w:hint="eastAsia" w:ascii="宋体" w:hAnsi="宋体" w:cs="宋体"/>
                <w:sz w:val="24"/>
              </w:rPr>
              <w:t>4</w:t>
            </w:r>
          </w:p>
        </w:tc>
        <w:tc>
          <w:tcPr>
            <w:tcW w:w="1635" w:type="dxa"/>
            <w:tcBorders>
              <w:top w:val="single" w:color="000000" w:sz="4" w:space="0"/>
              <w:left w:val="single" w:color="000000" w:sz="4" w:space="0"/>
              <w:bottom w:val="single" w:color="000000" w:sz="4" w:space="0"/>
              <w:right w:val="single" w:color="000000" w:sz="4" w:space="0"/>
            </w:tcBorders>
            <w:noWrap/>
            <w:vAlign w:val="center"/>
          </w:tcPr>
          <w:p w14:paraId="50C045E2">
            <w:pPr>
              <w:snapToGrid w:val="0"/>
              <w:jc w:val="center"/>
              <w:rPr>
                <w:rFonts w:hint="eastAsia" w:ascii="宋体" w:hAnsi="宋体" w:cs="宋体"/>
                <w:sz w:val="24"/>
              </w:rPr>
            </w:pPr>
            <w:r>
              <w:rPr>
                <w:rFonts w:hint="eastAsia" w:ascii="宋体" w:hAnsi="宋体" w:cs="宋体"/>
                <w:sz w:val="24"/>
              </w:rPr>
              <w:t>32000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7B45E15D">
            <w:pPr>
              <w:snapToGrid w:val="0"/>
              <w:jc w:val="center"/>
              <w:rPr>
                <w:rFonts w:hint="eastAsia" w:ascii="宋体" w:hAnsi="宋体" w:cs="宋体"/>
                <w:sz w:val="24"/>
              </w:rPr>
            </w:pPr>
            <w:r>
              <w:rPr>
                <w:rFonts w:hint="eastAsia" w:ascii="宋体" w:hAnsi="宋体" w:cs="宋体"/>
                <w:sz w:val="24"/>
              </w:rPr>
              <w:t>128000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E3AD10">
            <w:pPr>
              <w:jc w:val="center"/>
              <w:rPr>
                <w:rFonts w:hint="eastAsia" w:ascii="宋体" w:hAnsi="宋体" w:cs="宋体"/>
                <w:sz w:val="24"/>
              </w:rPr>
            </w:pPr>
          </w:p>
        </w:tc>
      </w:tr>
      <w:tr w14:paraId="7881ED55">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61579268">
            <w:pPr>
              <w:snapToGrid w:val="0"/>
              <w:jc w:val="center"/>
              <w:rPr>
                <w:rFonts w:hint="eastAsia" w:ascii="宋体" w:hAnsi="宋体" w:cs="宋体"/>
                <w:kern w:val="0"/>
                <w:sz w:val="24"/>
                <w:lang w:bidi="ar"/>
              </w:rPr>
            </w:pPr>
            <w:r>
              <w:rPr>
                <w:rFonts w:hint="eastAsia" w:ascii="宋体" w:hAnsi="宋体" w:cs="宋体"/>
                <w:sz w:val="24"/>
              </w:rPr>
              <w:t>31</w:t>
            </w:r>
          </w:p>
        </w:tc>
        <w:tc>
          <w:tcPr>
            <w:tcW w:w="2820" w:type="dxa"/>
            <w:tcBorders>
              <w:top w:val="single" w:color="000000" w:sz="4" w:space="0"/>
              <w:left w:val="single" w:color="000000" w:sz="4" w:space="0"/>
              <w:bottom w:val="single" w:color="000000" w:sz="4" w:space="0"/>
              <w:right w:val="single" w:color="000000" w:sz="4" w:space="0"/>
            </w:tcBorders>
            <w:vAlign w:val="center"/>
          </w:tcPr>
          <w:p w14:paraId="779894BE">
            <w:pPr>
              <w:snapToGrid w:val="0"/>
              <w:jc w:val="center"/>
              <w:rPr>
                <w:rFonts w:hint="eastAsia" w:ascii="宋体" w:hAnsi="宋体" w:cs="宋体"/>
                <w:kern w:val="0"/>
                <w:sz w:val="24"/>
                <w:lang w:bidi="ar"/>
              </w:rPr>
            </w:pPr>
            <w:r>
              <w:rPr>
                <w:rFonts w:hint="eastAsia" w:ascii="宋体" w:hAnsi="宋体" w:cs="宋体"/>
                <w:sz w:val="24"/>
              </w:rPr>
              <w:t>智能双路烟气采样仪</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38F2B9E">
            <w:pPr>
              <w:snapToGrid w:val="0"/>
              <w:jc w:val="center"/>
              <w:rPr>
                <w:rFonts w:hint="eastAsia" w:ascii="宋体" w:hAnsi="宋体" w:cs="宋体"/>
                <w:kern w:val="0"/>
                <w:sz w:val="24"/>
                <w:lang w:bidi="ar"/>
              </w:rPr>
            </w:pPr>
            <w:r>
              <w:rPr>
                <w:rFonts w:hint="eastAsia" w:ascii="宋体" w:hAnsi="宋体" w:cs="宋体"/>
                <w:sz w:val="24"/>
              </w:rPr>
              <w:t>2</w:t>
            </w:r>
          </w:p>
        </w:tc>
        <w:tc>
          <w:tcPr>
            <w:tcW w:w="1635" w:type="dxa"/>
            <w:tcBorders>
              <w:top w:val="single" w:color="000000" w:sz="4" w:space="0"/>
              <w:left w:val="single" w:color="000000" w:sz="4" w:space="0"/>
              <w:bottom w:val="single" w:color="000000" w:sz="4" w:space="0"/>
              <w:right w:val="single" w:color="000000" w:sz="4" w:space="0"/>
            </w:tcBorders>
            <w:noWrap/>
            <w:vAlign w:val="center"/>
          </w:tcPr>
          <w:p w14:paraId="16892A23">
            <w:pPr>
              <w:snapToGrid w:val="0"/>
              <w:jc w:val="center"/>
              <w:rPr>
                <w:rFonts w:hint="eastAsia" w:ascii="宋体" w:hAnsi="宋体" w:cs="宋体"/>
                <w:kern w:val="0"/>
                <w:sz w:val="24"/>
                <w:lang w:bidi="ar"/>
              </w:rPr>
            </w:pPr>
            <w:r>
              <w:rPr>
                <w:rFonts w:hint="eastAsia" w:ascii="宋体" w:hAnsi="宋体" w:cs="宋体"/>
                <w:sz w:val="24"/>
              </w:rPr>
              <w:t>15000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27223D1C">
            <w:pPr>
              <w:snapToGrid w:val="0"/>
              <w:jc w:val="center"/>
              <w:rPr>
                <w:rFonts w:hint="eastAsia" w:ascii="宋体" w:hAnsi="宋体" w:cs="宋体"/>
                <w:kern w:val="0"/>
                <w:sz w:val="24"/>
                <w:lang w:bidi="ar"/>
              </w:rPr>
            </w:pPr>
            <w:r>
              <w:rPr>
                <w:rFonts w:hint="eastAsia" w:ascii="宋体" w:hAnsi="宋体" w:cs="宋体"/>
                <w:sz w:val="24"/>
              </w:rPr>
              <w:t>30000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8F1E15">
            <w:pPr>
              <w:jc w:val="center"/>
              <w:rPr>
                <w:rFonts w:hint="eastAsia" w:ascii="宋体" w:hAnsi="宋体" w:cs="宋体"/>
                <w:sz w:val="24"/>
              </w:rPr>
            </w:pPr>
          </w:p>
        </w:tc>
      </w:tr>
      <w:tr w14:paraId="16F2AD4E">
        <w:tblPrEx>
          <w:tblCellMar>
            <w:top w:w="0" w:type="dxa"/>
            <w:left w:w="108" w:type="dxa"/>
            <w:bottom w:w="0" w:type="dxa"/>
            <w:right w:w="108" w:type="dxa"/>
          </w:tblCellMar>
        </w:tblPrEx>
        <w:trPr>
          <w:trHeight w:val="850" w:hRule="atLeast"/>
          <w:jc w:val="center"/>
        </w:trPr>
        <w:tc>
          <w:tcPr>
            <w:tcW w:w="6570" w:type="dxa"/>
            <w:gridSpan w:val="4"/>
            <w:tcBorders>
              <w:top w:val="single" w:color="000000" w:sz="4" w:space="0"/>
              <w:left w:val="single" w:color="000000" w:sz="4" w:space="0"/>
              <w:bottom w:val="single" w:color="000000" w:sz="4" w:space="0"/>
              <w:right w:val="single" w:color="000000" w:sz="4" w:space="0"/>
            </w:tcBorders>
            <w:noWrap/>
            <w:vAlign w:val="center"/>
          </w:tcPr>
          <w:p w14:paraId="2B7AD0B0">
            <w:pPr>
              <w:jc w:val="center"/>
              <w:rPr>
                <w:rFonts w:hint="eastAsia" w:ascii="宋体" w:hAnsi="宋体" w:cs="宋体"/>
                <w:sz w:val="24"/>
              </w:rPr>
            </w:pPr>
            <w:r>
              <w:rPr>
                <w:rFonts w:hint="eastAsia" w:ascii="宋体" w:hAnsi="宋体" w:cs="宋体"/>
                <w:kern w:val="0"/>
                <w:sz w:val="24"/>
                <w:lang w:bidi="ar"/>
              </w:rPr>
              <w:t>合计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A4BEB0">
            <w:pPr>
              <w:widowControl/>
              <w:jc w:val="center"/>
              <w:textAlignment w:val="center"/>
              <w:rPr>
                <w:rFonts w:hint="eastAsia" w:ascii="宋体" w:hAnsi="宋体" w:cs="宋体"/>
                <w:sz w:val="24"/>
              </w:rPr>
            </w:pPr>
            <w:r>
              <w:rPr>
                <w:rFonts w:hint="eastAsia" w:ascii="宋体" w:hAnsi="宋体" w:cs="宋体"/>
                <w:b/>
                <w:sz w:val="24"/>
              </w:rPr>
              <w:t>4656000.00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343C1B">
            <w:pPr>
              <w:jc w:val="center"/>
              <w:rPr>
                <w:rFonts w:hint="eastAsia" w:ascii="宋体" w:hAnsi="宋体" w:cs="宋体"/>
                <w:sz w:val="24"/>
              </w:rPr>
            </w:pPr>
          </w:p>
        </w:tc>
      </w:tr>
    </w:tbl>
    <w:p w14:paraId="76EF4679">
      <w:pPr>
        <w:spacing w:line="360" w:lineRule="auto"/>
        <w:ind w:firstLine="482" w:firstLineChars="200"/>
        <w:rPr>
          <w:rFonts w:hint="eastAsia" w:ascii="宋体" w:hAnsi="宋体" w:cs="宋体"/>
          <w:b/>
          <w:bCs/>
          <w:sz w:val="24"/>
        </w:rPr>
      </w:pPr>
    </w:p>
    <w:p w14:paraId="546F988D">
      <w:pPr>
        <w:spacing w:line="360" w:lineRule="auto"/>
        <w:ind w:firstLine="482" w:firstLineChars="200"/>
        <w:rPr>
          <w:rFonts w:hint="eastAsia" w:ascii="宋体" w:hAnsi="宋体" w:cs="宋体"/>
          <w:b/>
          <w:bCs/>
          <w:sz w:val="24"/>
        </w:rPr>
      </w:pPr>
      <w:r>
        <w:rPr>
          <w:rFonts w:hint="eastAsia" w:ascii="宋体" w:hAnsi="宋体" w:cs="宋体"/>
          <w:b/>
          <w:bCs/>
          <w:sz w:val="24"/>
        </w:rPr>
        <w:t>注：①本项目不允许进口产品参与投标。进口产品是指通过中国海关报关验放进入中国境内且产自关境外的产品。</w:t>
      </w:r>
    </w:p>
    <w:p w14:paraId="583C3828">
      <w:pPr>
        <w:spacing w:line="360" w:lineRule="auto"/>
        <w:ind w:firstLine="482" w:firstLineChars="200"/>
        <w:rPr>
          <w:rFonts w:hint="eastAsia" w:ascii="宋体" w:hAnsi="宋体" w:cs="宋体"/>
          <w:b/>
          <w:bCs/>
          <w:sz w:val="24"/>
        </w:rPr>
      </w:pPr>
      <w:r>
        <w:rPr>
          <w:rFonts w:hint="eastAsia" w:ascii="宋体" w:hAnsi="宋体" w:cs="宋体"/>
          <w:b/>
          <w:bCs/>
          <w:sz w:val="24"/>
        </w:rPr>
        <w:t>②投标人对所有采购内容进行整体投标并作出完整唯一的投标报价，不得出现缺项、漏项或无报价情况，设备的投标报价单价和合价均不得超过采购预算单价和合价，否则按无效标书处理。</w:t>
      </w:r>
    </w:p>
    <w:p w14:paraId="194335B1">
      <w:pPr>
        <w:tabs>
          <w:tab w:val="left" w:pos="426"/>
        </w:tabs>
        <w:spacing w:line="360" w:lineRule="auto"/>
        <w:ind w:firstLine="480" w:firstLineChars="200"/>
        <w:rPr>
          <w:rFonts w:hint="eastAsia" w:ascii="宋体" w:hAnsi="宋体" w:cs="宋体"/>
          <w:sz w:val="24"/>
        </w:rPr>
      </w:pPr>
      <w:r>
        <w:rPr>
          <w:rFonts w:hint="eastAsia" w:ascii="宋体" w:hAnsi="宋体" w:cs="宋体"/>
          <w:sz w:val="24"/>
        </w:rPr>
        <w:t>6.交货期：签订合同后45日历天内完成安装、调试、验收合格并交付使用。</w:t>
      </w:r>
    </w:p>
    <w:p w14:paraId="426F9500">
      <w:pPr>
        <w:tabs>
          <w:tab w:val="left" w:pos="426"/>
        </w:tabs>
        <w:spacing w:line="360" w:lineRule="auto"/>
        <w:ind w:firstLine="480" w:firstLineChars="200"/>
        <w:rPr>
          <w:rFonts w:hint="eastAsia" w:ascii="宋体" w:hAnsi="宋体" w:cs="宋体"/>
          <w:sz w:val="24"/>
        </w:rPr>
      </w:pPr>
      <w:r>
        <w:rPr>
          <w:rFonts w:hint="eastAsia" w:ascii="宋体" w:hAnsi="宋体" w:cs="宋体"/>
          <w:sz w:val="24"/>
        </w:rPr>
        <w:t>7.交货地点：采购人指定地点。</w:t>
      </w:r>
    </w:p>
    <w:p w14:paraId="4DB408B3">
      <w:pPr>
        <w:tabs>
          <w:tab w:val="left" w:pos="426"/>
        </w:tabs>
        <w:spacing w:line="360" w:lineRule="auto"/>
        <w:ind w:firstLine="480" w:firstLineChars="200"/>
        <w:rPr>
          <w:rFonts w:hint="eastAsia" w:ascii="宋体" w:hAnsi="宋体" w:cs="宋体"/>
          <w:sz w:val="24"/>
        </w:rPr>
      </w:pPr>
      <w:r>
        <w:rPr>
          <w:rFonts w:hint="eastAsia" w:ascii="宋体" w:hAnsi="宋体" w:cs="宋体"/>
          <w:sz w:val="24"/>
        </w:rPr>
        <w:t>8.质量标准：符合国家及地方现行的相关标准及法规政策，满足采购人验收要求。</w:t>
      </w:r>
    </w:p>
    <w:p w14:paraId="0EBEA3DB">
      <w:pPr>
        <w:tabs>
          <w:tab w:val="left" w:pos="426"/>
        </w:tabs>
        <w:spacing w:line="360" w:lineRule="auto"/>
        <w:ind w:firstLine="480" w:firstLineChars="200"/>
        <w:rPr>
          <w:rFonts w:hint="eastAsia" w:ascii="宋体" w:hAnsi="宋体" w:cs="宋体"/>
          <w:sz w:val="24"/>
        </w:rPr>
      </w:pPr>
      <w:r>
        <w:rPr>
          <w:rFonts w:hint="eastAsia" w:ascii="宋体" w:hAnsi="宋体" w:cs="宋体"/>
          <w:sz w:val="24"/>
        </w:rPr>
        <w:t>9.资格审查方式：资格后审。</w:t>
      </w:r>
    </w:p>
    <w:p w14:paraId="42A0C075">
      <w:pPr>
        <w:tabs>
          <w:tab w:val="left" w:pos="426"/>
        </w:tabs>
        <w:spacing w:line="360" w:lineRule="auto"/>
        <w:ind w:firstLine="480" w:firstLineChars="200"/>
        <w:rPr>
          <w:rFonts w:hint="eastAsia" w:ascii="宋体" w:hAnsi="宋体" w:cs="宋体"/>
          <w:sz w:val="24"/>
        </w:rPr>
      </w:pPr>
      <w:bookmarkStart w:id="17" w:name="_Toc25295"/>
      <w:bookmarkStart w:id="18" w:name="_Toc23927"/>
      <w:r>
        <w:rPr>
          <w:rFonts w:hint="eastAsia" w:ascii="宋体" w:hAnsi="宋体" w:cs="宋体"/>
          <w:sz w:val="24"/>
        </w:rPr>
        <w:t>10.本项目</w:t>
      </w:r>
      <w:r>
        <w:rPr>
          <w:rFonts w:hint="eastAsia" w:ascii="宋体" w:hAnsi="宋体" w:cs="宋体"/>
          <w:b/>
          <w:bCs/>
          <w:sz w:val="24"/>
        </w:rPr>
        <w:t>不接受</w:t>
      </w:r>
      <w:r>
        <w:rPr>
          <w:rFonts w:hint="eastAsia" w:ascii="宋体" w:hAnsi="宋体" w:cs="宋体"/>
          <w:sz w:val="24"/>
        </w:rPr>
        <w:t>联合体投标。</w:t>
      </w:r>
      <w:bookmarkEnd w:id="17"/>
      <w:bookmarkEnd w:id="18"/>
      <w:r>
        <w:rPr>
          <w:rFonts w:hint="eastAsia" w:ascii="宋体" w:hAnsi="宋体" w:cs="宋体"/>
          <w:sz w:val="24"/>
        </w:rPr>
        <w:t xml:space="preserve"> </w:t>
      </w:r>
    </w:p>
    <w:p w14:paraId="2C040F50">
      <w:pPr>
        <w:spacing w:line="360" w:lineRule="auto"/>
        <w:rPr>
          <w:rFonts w:hint="eastAsia" w:ascii="宋体" w:hAnsi="宋体" w:cs="宋体"/>
          <w:b/>
          <w:bCs/>
          <w:sz w:val="24"/>
        </w:rPr>
      </w:pPr>
      <w:bookmarkStart w:id="19" w:name="_Toc35393630"/>
      <w:bookmarkStart w:id="20" w:name="_Toc35393799"/>
      <w:bookmarkStart w:id="21" w:name="_Toc28359090"/>
      <w:bookmarkStart w:id="22" w:name="_Toc28359013"/>
      <w:bookmarkStart w:id="23" w:name="_Toc28359004"/>
      <w:bookmarkStart w:id="24" w:name="_Toc28359081"/>
      <w:r>
        <w:rPr>
          <w:rFonts w:hint="eastAsia" w:ascii="宋体" w:hAnsi="宋体" w:cs="宋体"/>
          <w:b/>
          <w:bCs/>
          <w:sz w:val="24"/>
        </w:rPr>
        <w:t>二、投标人的资格要求：</w:t>
      </w:r>
      <w:bookmarkEnd w:id="19"/>
      <w:bookmarkEnd w:id="20"/>
      <w:bookmarkEnd w:id="21"/>
      <w:bookmarkEnd w:id="22"/>
    </w:p>
    <w:p w14:paraId="32CC3C7E">
      <w:pPr>
        <w:spacing w:line="360" w:lineRule="auto"/>
        <w:ind w:firstLine="480" w:firstLineChars="200"/>
        <w:rPr>
          <w:rFonts w:hint="eastAsia" w:ascii="宋体" w:hAnsi="宋体" w:cs="宋体"/>
          <w:sz w:val="24"/>
        </w:rPr>
      </w:pPr>
      <w:r>
        <w:rPr>
          <w:rFonts w:hint="eastAsia" w:ascii="宋体" w:hAnsi="宋体" w:cs="宋体"/>
          <w:sz w:val="24"/>
        </w:rPr>
        <w:t>1.满足《中华人民共和国政府采购法》第二十二条规定：</w:t>
      </w:r>
    </w:p>
    <w:p w14:paraId="60396BBD">
      <w:pPr>
        <w:spacing w:line="360" w:lineRule="auto"/>
        <w:ind w:firstLine="480" w:firstLineChars="200"/>
        <w:rPr>
          <w:rFonts w:hint="eastAsia" w:ascii="宋体" w:hAnsi="宋体" w:cs="宋体"/>
          <w:sz w:val="24"/>
        </w:rPr>
      </w:pPr>
      <w:r>
        <w:rPr>
          <w:rFonts w:hint="eastAsia" w:ascii="宋体" w:hAnsi="宋体" w:cs="宋体"/>
          <w:sz w:val="24"/>
        </w:rPr>
        <w:t>1.1投标人自行承诺符合《中华人民共和国政府采购法》第二十二条规定及《中华人民共和国政府采购法实施条例》第十七条的相关要求。</w:t>
      </w:r>
    </w:p>
    <w:p w14:paraId="15E713D2">
      <w:pPr>
        <w:spacing w:line="360" w:lineRule="auto"/>
        <w:ind w:firstLine="480" w:firstLineChars="200"/>
        <w:rPr>
          <w:rFonts w:hint="eastAsia" w:ascii="宋体" w:hAnsi="宋体" w:cs="宋体"/>
          <w:sz w:val="24"/>
        </w:rPr>
      </w:pPr>
      <w:r>
        <w:rPr>
          <w:rFonts w:hint="eastAsia" w:ascii="宋体" w:hAnsi="宋体" w:cs="宋体"/>
          <w:sz w:val="24"/>
        </w:rPr>
        <w:t>2.落实政府采购政策需满足的资格要求：本项目</w:t>
      </w:r>
      <w:r>
        <w:rPr>
          <w:rFonts w:hint="eastAsia" w:ascii="宋体" w:hAnsi="宋体" w:cs="宋体"/>
          <w:b/>
          <w:bCs/>
          <w:sz w:val="24"/>
          <w:u w:val="single"/>
        </w:rPr>
        <w:t>不专门</w:t>
      </w:r>
      <w:r>
        <w:rPr>
          <w:rFonts w:hint="eastAsia" w:ascii="宋体" w:hAnsi="宋体" w:cs="宋体"/>
          <w:sz w:val="24"/>
        </w:rPr>
        <w:t>面向中小企业（注：监狱企业、残疾人福利性单位视同小型或微型企业）。</w:t>
      </w:r>
    </w:p>
    <w:p w14:paraId="5CF010D1">
      <w:pPr>
        <w:spacing w:line="360" w:lineRule="auto"/>
        <w:ind w:firstLine="480" w:firstLineChars="200"/>
        <w:rPr>
          <w:rFonts w:hint="eastAsia" w:ascii="宋体" w:hAnsi="宋体" w:cs="宋体"/>
          <w:sz w:val="24"/>
        </w:rPr>
      </w:pPr>
      <w:r>
        <w:rPr>
          <w:rFonts w:hint="eastAsia" w:ascii="宋体" w:hAnsi="宋体" w:cs="宋体"/>
          <w:sz w:val="24"/>
        </w:rPr>
        <w:t>3.本项目的特定资格要求：</w:t>
      </w:r>
    </w:p>
    <w:p w14:paraId="00C1FE3E">
      <w:pPr>
        <w:spacing w:line="360" w:lineRule="auto"/>
        <w:ind w:firstLine="480" w:firstLineChars="200"/>
        <w:rPr>
          <w:rFonts w:hint="eastAsia" w:ascii="宋体" w:hAnsi="宋体" w:cs="宋体"/>
          <w:bCs/>
          <w:kern w:val="0"/>
          <w:sz w:val="24"/>
        </w:rPr>
      </w:pPr>
      <w:r>
        <w:rPr>
          <w:rFonts w:hint="eastAsia" w:ascii="宋体" w:hAnsi="宋体" w:cs="宋体"/>
          <w:sz w:val="24"/>
        </w:rPr>
        <w:t>3.1投标人在中国境内注册登记具有独立承担民事责任的能力，提供有效的营业执照或者其他主体资格证明文件；投标人为</w:t>
      </w:r>
      <w:r>
        <w:rPr>
          <w:rFonts w:hint="eastAsia" w:ascii="宋体" w:hAnsi="宋体" w:cs="宋体"/>
          <w:bCs/>
          <w:kern w:val="0"/>
          <w:sz w:val="24"/>
        </w:rPr>
        <w:t>自然人的提供身份证明</w:t>
      </w:r>
      <w:r>
        <w:rPr>
          <w:rFonts w:hint="eastAsia" w:ascii="宋体" w:hAnsi="宋体" w:cs="宋体"/>
          <w:sz w:val="24"/>
        </w:rPr>
        <w:t>（适用于自然人参加投标情形）</w:t>
      </w:r>
      <w:r>
        <w:rPr>
          <w:rFonts w:hint="eastAsia" w:ascii="宋体" w:hAnsi="宋体" w:cs="宋体"/>
          <w:bCs/>
          <w:kern w:val="0"/>
          <w:sz w:val="24"/>
        </w:rPr>
        <w:t>。</w:t>
      </w:r>
    </w:p>
    <w:p w14:paraId="2D433B9C">
      <w:pPr>
        <w:spacing w:line="360" w:lineRule="auto"/>
        <w:ind w:firstLine="480" w:firstLineChars="200"/>
        <w:rPr>
          <w:rFonts w:hint="eastAsia" w:ascii="宋体" w:hAnsi="宋体" w:cs="宋体"/>
          <w:bCs/>
          <w:sz w:val="24"/>
        </w:rPr>
      </w:pPr>
      <w:r>
        <w:rPr>
          <w:rFonts w:hint="eastAsia" w:ascii="宋体" w:hAnsi="宋体" w:cs="宋体"/>
          <w:sz w:val="24"/>
        </w:rPr>
        <w:t>3.2在投标文件递交截止时间前投标人在“信用中国”网站(www.creditchina.gov.cn)中未被列入：失信被执行人、重大税收违法失信主体、政府采购严重违法失信行为记录名单；在“中国政府采购网”(www.ccgp.gov.cn)中未被列入：政府采购严重违法失信行为记录名单。</w:t>
      </w:r>
      <w:r>
        <w:rPr>
          <w:rFonts w:hint="eastAsia" w:ascii="宋体" w:hAnsi="宋体" w:cs="宋体"/>
          <w:b/>
          <w:bCs/>
          <w:sz w:val="24"/>
        </w:rPr>
        <w:t>（由采购人或采购代理机构在评标前进行查询，查询记录为上述网站查询结果的网页截图或网页打印稿）</w:t>
      </w:r>
      <w:r>
        <w:rPr>
          <w:rFonts w:hint="eastAsia" w:ascii="宋体" w:hAnsi="宋体" w:cs="宋体"/>
          <w:sz w:val="24"/>
        </w:rPr>
        <w:t>。</w:t>
      </w:r>
      <w:bookmarkEnd w:id="23"/>
      <w:bookmarkEnd w:id="24"/>
      <w:bookmarkStart w:id="25" w:name="_Toc14958"/>
      <w:bookmarkStart w:id="26" w:name="_Toc35393792"/>
      <w:bookmarkStart w:id="27" w:name="_Toc35393623"/>
      <w:bookmarkStart w:id="28" w:name="_Toc28359005"/>
      <w:bookmarkStart w:id="29" w:name="_Toc28359082"/>
      <w:bookmarkStart w:id="30" w:name="_Toc35393793"/>
      <w:bookmarkStart w:id="31" w:name="_Toc35393624"/>
      <w:r>
        <w:rPr>
          <w:rFonts w:hint="eastAsia" w:ascii="宋体" w:hAnsi="宋体" w:cs="宋体"/>
          <w:bCs/>
          <w:sz w:val="24"/>
        </w:rPr>
        <w:t>三、获取招标文件</w:t>
      </w:r>
      <w:bookmarkEnd w:id="25"/>
      <w:bookmarkEnd w:id="26"/>
      <w:bookmarkEnd w:id="27"/>
    </w:p>
    <w:p w14:paraId="07529429">
      <w:pPr>
        <w:spacing w:line="360" w:lineRule="auto"/>
        <w:ind w:firstLine="480" w:firstLineChars="200"/>
        <w:rPr>
          <w:rFonts w:hint="eastAsia" w:ascii="宋体" w:hAnsi="宋体" w:cs="宋体"/>
          <w:sz w:val="24"/>
        </w:rPr>
      </w:pPr>
      <w:r>
        <w:rPr>
          <w:rFonts w:hint="eastAsia" w:ascii="宋体" w:hAnsi="宋体" w:cs="宋体"/>
          <w:sz w:val="24"/>
        </w:rPr>
        <w:t>1.时间：</w:t>
      </w:r>
      <w:r>
        <w:rPr>
          <w:rFonts w:hint="eastAsia" w:ascii="宋体" w:hAnsi="宋体" w:cs="宋体"/>
          <w:sz w:val="24"/>
          <w:u w:val="single"/>
        </w:rPr>
        <w:t>2026年  月  日</w:t>
      </w:r>
      <w:r>
        <w:rPr>
          <w:rFonts w:hint="eastAsia" w:ascii="宋体" w:hAnsi="宋体" w:cs="宋体"/>
          <w:sz w:val="24"/>
        </w:rPr>
        <w:t>至</w:t>
      </w:r>
      <w:r>
        <w:rPr>
          <w:rFonts w:hint="eastAsia" w:ascii="宋体" w:hAnsi="宋体" w:cs="宋体"/>
          <w:sz w:val="24"/>
          <w:u w:val="single"/>
        </w:rPr>
        <w:t>2026年  月  日23时59分</w:t>
      </w:r>
      <w:r>
        <w:rPr>
          <w:rFonts w:hint="eastAsia" w:ascii="宋体" w:hAnsi="宋体" w:cs="宋体"/>
          <w:sz w:val="24"/>
        </w:rPr>
        <w:t>（北京时间）。</w:t>
      </w:r>
    </w:p>
    <w:p w14:paraId="060AA8A0">
      <w:pPr>
        <w:spacing w:line="360" w:lineRule="auto"/>
        <w:ind w:firstLine="480" w:firstLineChars="200"/>
        <w:rPr>
          <w:rFonts w:hint="eastAsia" w:ascii="宋体" w:hAnsi="宋体" w:cs="宋体"/>
          <w:sz w:val="24"/>
        </w:rPr>
      </w:pPr>
      <w:r>
        <w:rPr>
          <w:rFonts w:hint="eastAsia" w:ascii="宋体" w:hAnsi="宋体" w:cs="宋体"/>
          <w:sz w:val="24"/>
        </w:rPr>
        <w:t>2.地址：政采云平台线上获取（https://www.zcygov.cn/）。</w:t>
      </w:r>
    </w:p>
    <w:p w14:paraId="61F3B509">
      <w:pPr>
        <w:spacing w:line="360" w:lineRule="auto"/>
        <w:ind w:firstLine="480" w:firstLineChars="200"/>
        <w:jc w:val="left"/>
        <w:rPr>
          <w:rFonts w:hint="eastAsia" w:ascii="宋体" w:hAnsi="宋体" w:cs="宋体"/>
          <w:sz w:val="24"/>
        </w:rPr>
      </w:pPr>
      <w:r>
        <w:rPr>
          <w:rFonts w:hint="eastAsia" w:ascii="宋体" w:hAnsi="宋体" w:cs="宋体"/>
          <w:sz w:val="24"/>
        </w:rPr>
        <w:t>3.方式：①凡有意参加投标者，须在政采云平台办理数字证书（CA），并在政采云绑定数字证书（CA）后线上获取采购文件及其它采购资料。CA申领链接：https://middle.zcygov.cn/ca/apply/list?_app_=zcy.sys，CA申领后需登陆政采云平台完成数字证书（CA）绑定才可以使用，数字证书（CA）详见其办理流程。</w:t>
      </w:r>
    </w:p>
    <w:p w14:paraId="5D751796">
      <w:pPr>
        <w:spacing w:line="360" w:lineRule="auto"/>
        <w:ind w:firstLine="480" w:firstLineChars="200"/>
        <w:jc w:val="left"/>
        <w:rPr>
          <w:rFonts w:hint="eastAsia" w:ascii="宋体" w:hAnsi="宋体" w:cs="宋体"/>
          <w:sz w:val="24"/>
        </w:rPr>
      </w:pPr>
      <w:r>
        <w:rPr>
          <w:rFonts w:hint="eastAsia" w:ascii="宋体" w:hAnsi="宋体" w:cs="宋体"/>
          <w:sz w:val="24"/>
        </w:rPr>
        <w:t>②按上述要求获取招标文件的投标人视为合法获取了本项目招标文件，具备本项目的投标资格。</w:t>
      </w:r>
    </w:p>
    <w:p w14:paraId="7016BAA5">
      <w:pPr>
        <w:spacing w:line="360" w:lineRule="auto"/>
        <w:ind w:firstLine="480" w:firstLineChars="200"/>
        <w:jc w:val="left"/>
        <w:rPr>
          <w:rFonts w:hint="eastAsia" w:ascii="宋体" w:hAnsi="宋体" w:cs="宋体"/>
          <w:sz w:val="24"/>
        </w:rPr>
      </w:pPr>
      <w:r>
        <w:rPr>
          <w:rFonts w:hint="eastAsia" w:ascii="宋体" w:hAnsi="宋体" w:cs="宋体"/>
          <w:sz w:val="24"/>
        </w:rPr>
        <w:t>注：各投标人应在开标前注册成为政采云平台供应商，并完成CA数字证书申领。政采云平台支持多家CA服务商（投标人请根据项目所在省份选择CA），由投标人自行选择。投标人已在政府采购电子交易平台、公共资源交易平台办理的CA可直接使用（2022年1月1日前办理的云南CA需到云南CA办理窗口进行升级），无需重复办理。未完成注册和未办理CA数字证书等原因造成无法投标或投标失败等由投标人自行承担，如有问题可拨打政采云客户服务热线95763咨询（紧急办理可拨：19988166369）。</w:t>
      </w:r>
    </w:p>
    <w:p w14:paraId="33032E06">
      <w:pPr>
        <w:pStyle w:val="10"/>
        <w:spacing w:line="360" w:lineRule="auto"/>
        <w:ind w:firstLine="480"/>
        <w:jc w:val="left"/>
        <w:rPr>
          <w:rFonts w:hint="eastAsia" w:hAnsi="宋体" w:cs="宋体"/>
          <w:sz w:val="24"/>
          <w:szCs w:val="24"/>
        </w:rPr>
      </w:pPr>
      <w:r>
        <w:rPr>
          <w:rFonts w:hint="eastAsia" w:hAnsi="宋体" w:cs="宋体"/>
          <w:sz w:val="24"/>
          <w:szCs w:val="24"/>
        </w:rPr>
        <w:t>4.</w:t>
      </w:r>
      <w:r>
        <w:rPr>
          <w:rFonts w:hint="eastAsia" w:hAnsi="宋体" w:cs="宋体"/>
          <w:spacing w:val="0"/>
          <w:sz w:val="24"/>
          <w:szCs w:val="24"/>
        </w:rPr>
        <w:t xml:space="preserve"> 本项目免费获取招标文件。</w:t>
      </w:r>
    </w:p>
    <w:bookmarkEnd w:id="28"/>
    <w:bookmarkEnd w:id="29"/>
    <w:bookmarkEnd w:id="30"/>
    <w:bookmarkEnd w:id="31"/>
    <w:p w14:paraId="1C096D2E">
      <w:pPr>
        <w:pStyle w:val="4"/>
        <w:tabs>
          <w:tab w:val="clear" w:pos="1021"/>
        </w:tabs>
        <w:spacing w:before="156" w:beforeLines="50" w:after="156" w:afterLines="50"/>
        <w:ind w:left="0" w:firstLine="0"/>
        <w:rPr>
          <w:rFonts w:hint="eastAsia" w:ascii="宋体" w:hAnsi="宋体" w:eastAsia="宋体" w:cs="宋体"/>
          <w:bCs/>
          <w:sz w:val="24"/>
          <w:szCs w:val="24"/>
        </w:rPr>
      </w:pPr>
      <w:bookmarkStart w:id="32" w:name="_Toc28044"/>
      <w:bookmarkStart w:id="33" w:name="_Toc27489"/>
      <w:bookmarkStart w:id="34" w:name="_Toc21059"/>
      <w:bookmarkStart w:id="35" w:name="_Toc21442"/>
      <w:r>
        <w:rPr>
          <w:rFonts w:hint="eastAsia" w:ascii="宋体" w:hAnsi="宋体" w:eastAsia="宋体" w:cs="宋体"/>
          <w:bCs/>
          <w:sz w:val="24"/>
          <w:szCs w:val="24"/>
        </w:rPr>
        <w:t>四、提交投标文件截止时间、开标时间和地点</w:t>
      </w:r>
      <w:bookmarkEnd w:id="32"/>
      <w:bookmarkEnd w:id="33"/>
      <w:bookmarkEnd w:id="34"/>
      <w:bookmarkEnd w:id="35"/>
    </w:p>
    <w:p w14:paraId="30AE3EC0">
      <w:pPr>
        <w:spacing w:line="360" w:lineRule="auto"/>
        <w:ind w:firstLine="480" w:firstLineChars="200"/>
        <w:rPr>
          <w:rFonts w:hint="eastAsia" w:ascii="宋体" w:hAnsi="宋体" w:cs="宋体"/>
          <w:sz w:val="24"/>
        </w:rPr>
      </w:pPr>
      <w:r>
        <w:rPr>
          <w:rFonts w:hint="eastAsia" w:ascii="宋体" w:hAnsi="宋体" w:cs="宋体"/>
          <w:sz w:val="24"/>
        </w:rPr>
        <w:t>1.提交投标文件截止时间、开标时间：</w:t>
      </w:r>
      <w:r>
        <w:rPr>
          <w:rFonts w:hint="eastAsia" w:ascii="宋体" w:hAnsi="宋体" w:cs="宋体"/>
          <w:sz w:val="24"/>
          <w:u w:val="single"/>
        </w:rPr>
        <w:t>2026年  月  日  时  分（北京时间）。</w:t>
      </w:r>
    </w:p>
    <w:p w14:paraId="27AA18B4">
      <w:pPr>
        <w:spacing w:line="360" w:lineRule="auto"/>
        <w:ind w:firstLine="480" w:firstLineChars="200"/>
        <w:jc w:val="left"/>
        <w:rPr>
          <w:rFonts w:hint="eastAsia" w:ascii="宋体" w:hAnsi="宋体" w:cs="宋体"/>
          <w:sz w:val="24"/>
        </w:rPr>
      </w:pPr>
      <w:r>
        <w:rPr>
          <w:rFonts w:hint="eastAsia" w:ascii="宋体" w:hAnsi="宋体" w:cs="宋体"/>
          <w:sz w:val="24"/>
        </w:rPr>
        <w:t>2.地点：</w:t>
      </w:r>
      <w:r>
        <w:rPr>
          <w:rFonts w:hint="eastAsia" w:ascii="宋体" w:hAnsi="宋体" w:cs="宋体"/>
          <w:sz w:val="24"/>
          <w:u w:val="single"/>
        </w:rPr>
        <w:t>政采云平台（http：//www.zcygov.cn）</w:t>
      </w:r>
    </w:p>
    <w:p w14:paraId="438279C5">
      <w:pPr>
        <w:spacing w:line="360" w:lineRule="auto"/>
        <w:ind w:firstLine="480" w:firstLineChars="200"/>
        <w:rPr>
          <w:rFonts w:hint="eastAsia" w:ascii="宋体" w:hAnsi="宋体" w:cs="宋体"/>
          <w:kern w:val="0"/>
          <w:sz w:val="24"/>
        </w:rPr>
      </w:pPr>
      <w:r>
        <w:rPr>
          <w:rFonts w:hint="eastAsia" w:ascii="宋体" w:hAnsi="宋体" w:cs="宋体"/>
          <w:sz w:val="24"/>
        </w:rPr>
        <w:t xml:space="preserve">  开标参与方式：本项目采用远程开标方式进行开标，投标人无需到达开标现场</w:t>
      </w:r>
      <w:r>
        <w:rPr>
          <w:rFonts w:hint="eastAsia" w:ascii="宋体" w:hAnsi="宋体" w:cs="宋体"/>
          <w:kern w:val="0"/>
          <w:sz w:val="24"/>
        </w:rPr>
        <w:t>。</w:t>
      </w:r>
    </w:p>
    <w:p w14:paraId="7F86663C">
      <w:pPr>
        <w:pStyle w:val="4"/>
        <w:tabs>
          <w:tab w:val="clear" w:pos="1021"/>
        </w:tabs>
        <w:spacing w:before="156" w:beforeLines="50" w:after="156" w:afterLines="50"/>
        <w:ind w:left="0" w:firstLine="0"/>
        <w:rPr>
          <w:rFonts w:hint="eastAsia" w:ascii="宋体" w:hAnsi="宋体" w:eastAsia="宋体" w:cs="宋体"/>
          <w:sz w:val="24"/>
          <w:szCs w:val="24"/>
        </w:rPr>
      </w:pPr>
      <w:bookmarkStart w:id="36" w:name="_Toc35393794"/>
      <w:bookmarkStart w:id="37" w:name="_Toc28359007"/>
      <w:bookmarkStart w:id="38" w:name="_Toc35393625"/>
      <w:bookmarkStart w:id="39" w:name="_Toc28359084"/>
      <w:bookmarkStart w:id="40" w:name="_Toc30446"/>
      <w:bookmarkStart w:id="41" w:name="_Toc20154"/>
      <w:bookmarkStart w:id="42" w:name="_Toc32131"/>
      <w:bookmarkStart w:id="43" w:name="_Toc23447"/>
      <w:r>
        <w:rPr>
          <w:rFonts w:hint="eastAsia" w:ascii="宋体" w:hAnsi="宋体" w:eastAsia="宋体" w:cs="宋体"/>
          <w:bCs/>
          <w:sz w:val="24"/>
          <w:szCs w:val="24"/>
        </w:rPr>
        <w:t>五、</w:t>
      </w:r>
      <w:bookmarkEnd w:id="36"/>
      <w:bookmarkEnd w:id="37"/>
      <w:bookmarkEnd w:id="38"/>
      <w:bookmarkEnd w:id="39"/>
      <w:r>
        <w:rPr>
          <w:rFonts w:hint="eastAsia" w:ascii="宋体" w:hAnsi="宋体" w:eastAsia="宋体" w:cs="宋体"/>
          <w:bCs/>
          <w:sz w:val="24"/>
          <w:szCs w:val="24"/>
        </w:rPr>
        <w:t>公告期限</w:t>
      </w:r>
      <w:bookmarkEnd w:id="40"/>
      <w:bookmarkEnd w:id="41"/>
      <w:bookmarkEnd w:id="42"/>
      <w:bookmarkEnd w:id="43"/>
    </w:p>
    <w:p w14:paraId="620D0CAC">
      <w:pPr>
        <w:spacing w:line="360" w:lineRule="auto"/>
        <w:ind w:firstLine="480" w:firstLineChars="200"/>
        <w:rPr>
          <w:rFonts w:hint="eastAsia" w:ascii="宋体" w:hAnsi="宋体" w:cs="宋体"/>
          <w:kern w:val="0"/>
          <w:sz w:val="24"/>
        </w:rPr>
      </w:pPr>
      <w:r>
        <w:rPr>
          <w:rFonts w:hint="eastAsia" w:ascii="宋体" w:hAnsi="宋体" w:cs="宋体"/>
          <w:kern w:val="0"/>
          <w:sz w:val="24"/>
        </w:rPr>
        <w:t>本公告期限自本公告发布之日起5个工作日。</w:t>
      </w:r>
    </w:p>
    <w:p w14:paraId="29AC0C82">
      <w:pPr>
        <w:pStyle w:val="4"/>
        <w:tabs>
          <w:tab w:val="clear" w:pos="1021"/>
        </w:tabs>
        <w:spacing w:before="156" w:beforeLines="50" w:after="156" w:afterLines="50"/>
        <w:ind w:left="0" w:firstLine="0"/>
        <w:rPr>
          <w:rFonts w:hint="eastAsia" w:ascii="宋体" w:hAnsi="宋体" w:eastAsia="宋体" w:cs="宋体"/>
          <w:szCs w:val="21"/>
        </w:rPr>
      </w:pPr>
      <w:bookmarkStart w:id="44" w:name="_Toc35393626"/>
      <w:bookmarkStart w:id="45" w:name="_Toc16520"/>
      <w:bookmarkStart w:id="46" w:name="_Toc29706"/>
      <w:bookmarkStart w:id="47" w:name="_Toc3507"/>
      <w:bookmarkStart w:id="48" w:name="_Toc35393795"/>
      <w:bookmarkStart w:id="49" w:name="_Toc29643"/>
      <w:r>
        <w:rPr>
          <w:rFonts w:hint="eastAsia" w:ascii="宋体" w:hAnsi="宋体" w:eastAsia="宋体" w:cs="宋体"/>
          <w:bCs/>
          <w:sz w:val="24"/>
          <w:szCs w:val="24"/>
        </w:rPr>
        <w:t>六、其他补充事宜</w:t>
      </w:r>
      <w:bookmarkEnd w:id="44"/>
      <w:bookmarkEnd w:id="45"/>
      <w:bookmarkEnd w:id="46"/>
      <w:bookmarkEnd w:id="47"/>
      <w:bookmarkEnd w:id="48"/>
      <w:bookmarkEnd w:id="49"/>
    </w:p>
    <w:p w14:paraId="4868B1E4">
      <w:pPr>
        <w:spacing w:line="360" w:lineRule="auto"/>
        <w:ind w:firstLine="560" w:firstLineChars="200"/>
        <w:rPr>
          <w:rFonts w:hint="eastAsia" w:ascii="宋体" w:hAnsi="宋体" w:cs="宋体"/>
          <w:bCs/>
          <w:sz w:val="28"/>
          <w:szCs w:val="28"/>
          <w:u w:val="single"/>
          <w:shd w:val="clear" w:color="auto" w:fill="FFFFFF" w:themeFill="background1"/>
        </w:rPr>
      </w:pPr>
      <w:bookmarkStart w:id="50" w:name="_Hlk85029579"/>
      <w:r>
        <w:rPr>
          <w:rFonts w:hint="eastAsia" w:ascii="宋体" w:hAnsi="宋体" w:cs="宋体"/>
          <w:sz w:val="28"/>
          <w:szCs w:val="28"/>
          <w:shd w:val="clear" w:color="auto" w:fill="FFFFFF" w:themeFill="background1"/>
        </w:rPr>
        <w:t>1.开标方式</w:t>
      </w:r>
      <w:bookmarkEnd w:id="50"/>
      <w:r>
        <w:rPr>
          <w:rFonts w:hint="eastAsia" w:ascii="宋体" w:hAnsi="宋体" w:cs="宋体"/>
          <w:sz w:val="28"/>
          <w:szCs w:val="28"/>
          <w:shd w:val="clear" w:color="auto" w:fill="FFFFFF" w:themeFill="background1"/>
        </w:rPr>
        <w:t>：</w:t>
      </w:r>
      <w:r>
        <w:rPr>
          <w:rFonts w:hint="eastAsia" w:ascii="宋体" w:hAnsi="宋体" w:cs="宋体"/>
          <w:sz w:val="28"/>
          <w:szCs w:val="28"/>
          <w:u w:val="single"/>
          <w:shd w:val="clear" w:color="auto" w:fill="FFFFFF" w:themeFill="background1"/>
        </w:rPr>
        <w:t>网上</w:t>
      </w:r>
      <w:r>
        <w:rPr>
          <w:rFonts w:hint="eastAsia" w:ascii="宋体" w:hAnsi="宋体" w:cs="宋体"/>
          <w:bCs/>
          <w:sz w:val="28"/>
          <w:szCs w:val="28"/>
          <w:u w:val="single"/>
          <w:shd w:val="clear" w:color="auto" w:fill="FFFFFF" w:themeFill="background1"/>
        </w:rPr>
        <w:t>开标。</w:t>
      </w:r>
    </w:p>
    <w:p w14:paraId="737D496C">
      <w:pPr>
        <w:spacing w:line="360" w:lineRule="auto"/>
        <w:ind w:firstLine="480" w:firstLineChars="200"/>
        <w:rPr>
          <w:rFonts w:hint="eastAsia" w:ascii="宋体" w:hAnsi="宋体" w:cs="宋体"/>
          <w:sz w:val="24"/>
          <w:shd w:val="clear" w:color="auto" w:fill="FFFFFF" w:themeFill="background1"/>
        </w:rPr>
      </w:pPr>
      <w:r>
        <w:rPr>
          <w:rFonts w:hint="eastAsia" w:ascii="宋体" w:hAnsi="宋体" w:cs="宋体"/>
          <w:sz w:val="24"/>
          <w:shd w:val="clear" w:color="auto" w:fill="FFFFFF" w:themeFill="background1"/>
        </w:rPr>
        <w:t>2.投标有效期：</w:t>
      </w:r>
      <w:r>
        <w:rPr>
          <w:rFonts w:hint="eastAsia" w:ascii="宋体" w:hAnsi="宋体" w:cs="宋体"/>
          <w:sz w:val="24"/>
          <w:u w:val="single"/>
          <w:shd w:val="clear" w:color="auto" w:fill="FFFFFF" w:themeFill="background1"/>
        </w:rPr>
        <w:t>90日历天。</w:t>
      </w:r>
    </w:p>
    <w:p w14:paraId="2876AD05">
      <w:pPr>
        <w:spacing w:line="360" w:lineRule="auto"/>
        <w:ind w:firstLine="480" w:firstLineChars="200"/>
        <w:rPr>
          <w:rFonts w:hint="eastAsia" w:ascii="宋体" w:hAnsi="宋体" w:cs="宋体"/>
          <w:sz w:val="24"/>
          <w:shd w:val="clear" w:color="auto" w:fill="FFFFFF" w:themeFill="background1"/>
        </w:rPr>
      </w:pPr>
      <w:r>
        <w:rPr>
          <w:rFonts w:hint="eastAsia" w:ascii="宋体" w:hAnsi="宋体" w:cs="宋体"/>
          <w:sz w:val="24"/>
          <w:shd w:val="clear" w:color="auto" w:fill="FFFFFF" w:themeFill="background1"/>
        </w:rPr>
        <w:t>3.是否需要缴纳投标保证金：</w:t>
      </w:r>
      <w:r>
        <w:rPr>
          <w:rFonts w:hint="eastAsia" w:ascii="宋体" w:hAnsi="宋体" w:cs="宋体"/>
          <w:sz w:val="24"/>
          <w:u w:val="single"/>
          <w:shd w:val="clear" w:color="auto" w:fill="FFFFFF" w:themeFill="background1"/>
        </w:rPr>
        <w:t>是。</w:t>
      </w:r>
    </w:p>
    <w:p w14:paraId="6BD86B29">
      <w:pPr>
        <w:spacing w:line="360" w:lineRule="auto"/>
        <w:ind w:firstLine="480" w:firstLineChars="200"/>
        <w:rPr>
          <w:rFonts w:hint="eastAsia" w:ascii="宋体" w:hAnsi="宋体" w:cs="宋体"/>
          <w:sz w:val="24"/>
          <w:u w:val="single"/>
          <w:shd w:val="clear" w:color="auto" w:fill="FFFFFF" w:themeFill="background1"/>
        </w:rPr>
      </w:pPr>
      <w:r>
        <w:rPr>
          <w:rFonts w:hint="eastAsia" w:ascii="宋体" w:hAnsi="宋体" w:cs="宋体"/>
          <w:sz w:val="24"/>
          <w:shd w:val="clear" w:color="auto" w:fill="FFFFFF" w:themeFill="background1"/>
        </w:rPr>
        <w:t>4.投标保证金缴纳金额：</w:t>
      </w:r>
      <w:r>
        <w:rPr>
          <w:rFonts w:hint="eastAsia" w:ascii="宋体" w:hAnsi="宋体" w:cs="宋体"/>
          <w:sz w:val="24"/>
          <w:u w:val="single"/>
          <w:shd w:val="clear" w:color="auto" w:fill="FFFFFF" w:themeFill="background1"/>
        </w:rPr>
        <w:t xml:space="preserve">       。</w:t>
      </w:r>
    </w:p>
    <w:p w14:paraId="6893F5A2">
      <w:pPr>
        <w:spacing w:line="360" w:lineRule="auto"/>
        <w:ind w:firstLine="480" w:firstLineChars="200"/>
        <w:rPr>
          <w:rFonts w:hint="eastAsia" w:ascii="宋体" w:hAnsi="宋体" w:cs="宋体"/>
          <w:sz w:val="24"/>
          <w:shd w:val="clear" w:color="auto" w:fill="FFFFFF" w:themeFill="background1"/>
        </w:rPr>
      </w:pPr>
      <w:r>
        <w:rPr>
          <w:rFonts w:hint="eastAsia" w:ascii="宋体" w:hAnsi="宋体" w:cs="宋体"/>
          <w:sz w:val="24"/>
          <w:shd w:val="clear" w:color="auto" w:fill="FFFFFF" w:themeFill="background1"/>
        </w:rPr>
        <w:t>5.投标保证金缴纳方式：</w:t>
      </w:r>
      <w:r>
        <w:rPr>
          <w:rFonts w:hint="eastAsia" w:ascii="宋体" w:hAnsi="宋体" w:cs="宋体"/>
          <w:sz w:val="24"/>
          <w:u w:val="single"/>
          <w:shd w:val="clear" w:color="auto" w:fill="FFFFFF" w:themeFill="background1"/>
        </w:rPr>
        <w:t>支票、汇票、本票、保函、电汇、网银或金融机构、担保机构出具的保函；其他非现金形式：银行转账。</w:t>
      </w:r>
    </w:p>
    <w:p w14:paraId="0F433DDE">
      <w:pPr>
        <w:spacing w:line="360" w:lineRule="auto"/>
        <w:ind w:firstLine="480" w:firstLineChars="200"/>
        <w:rPr>
          <w:rFonts w:hint="eastAsia" w:ascii="宋体" w:hAnsi="宋体" w:cs="宋体"/>
          <w:sz w:val="24"/>
          <w:shd w:val="clear" w:color="auto" w:fill="FFFFFF" w:themeFill="background1"/>
        </w:rPr>
      </w:pPr>
      <w:r>
        <w:rPr>
          <w:rFonts w:hint="eastAsia" w:ascii="宋体" w:hAnsi="宋体" w:cs="宋体"/>
          <w:sz w:val="24"/>
          <w:shd w:val="clear" w:color="auto" w:fill="FFFFFF" w:themeFill="background1"/>
        </w:rPr>
        <w:t>6.投标保证金缴纳截止时间：</w:t>
      </w:r>
      <w:r>
        <w:rPr>
          <w:rFonts w:hint="eastAsia" w:ascii="宋体" w:hAnsi="宋体" w:cs="宋体"/>
          <w:sz w:val="24"/>
          <w:u w:val="single"/>
          <w:shd w:val="clear" w:color="auto" w:fill="FFFFFF" w:themeFill="background1"/>
        </w:rPr>
        <w:t>投标截止时间。</w:t>
      </w:r>
    </w:p>
    <w:p w14:paraId="21A92459">
      <w:pPr>
        <w:spacing w:line="360" w:lineRule="auto"/>
        <w:ind w:firstLine="480" w:firstLineChars="200"/>
        <w:rPr>
          <w:rFonts w:hint="eastAsia" w:ascii="宋体" w:hAnsi="宋体" w:cs="宋体"/>
          <w:kern w:val="0"/>
          <w:sz w:val="24"/>
        </w:rPr>
      </w:pPr>
      <w:r>
        <w:rPr>
          <w:rFonts w:hint="eastAsia" w:ascii="宋体" w:hAnsi="宋体" w:cs="宋体"/>
          <w:kern w:val="0"/>
          <w:sz w:val="24"/>
        </w:rPr>
        <w:t>7.其他</w:t>
      </w:r>
    </w:p>
    <w:p w14:paraId="70E434BC">
      <w:pPr>
        <w:spacing w:line="360" w:lineRule="auto"/>
        <w:ind w:firstLine="480" w:firstLineChars="200"/>
        <w:rPr>
          <w:rFonts w:hint="eastAsia" w:ascii="宋体" w:hAnsi="宋体" w:cs="宋体"/>
          <w:kern w:val="0"/>
          <w:sz w:val="24"/>
        </w:rPr>
      </w:pPr>
      <w:r>
        <w:rPr>
          <w:rFonts w:hint="eastAsia" w:ascii="宋体" w:hAnsi="宋体" w:cs="宋体"/>
          <w:kern w:val="0"/>
          <w:sz w:val="24"/>
        </w:rPr>
        <w:t>7.1发布媒介：本项目招标公告同时在云南省政府采购网、政府采购云平台上发布，公告内容和时间以云南省政府采购网发布的信息为准。</w:t>
      </w:r>
    </w:p>
    <w:p w14:paraId="7DC7F84B">
      <w:pPr>
        <w:spacing w:line="360" w:lineRule="auto"/>
        <w:ind w:firstLine="480" w:firstLineChars="200"/>
        <w:rPr>
          <w:rFonts w:hint="eastAsia" w:ascii="宋体" w:hAnsi="宋体" w:cs="宋体"/>
          <w:kern w:val="0"/>
          <w:sz w:val="24"/>
        </w:rPr>
      </w:pPr>
      <w:r>
        <w:rPr>
          <w:rFonts w:hint="eastAsia" w:ascii="宋体" w:hAnsi="宋体" w:cs="宋体"/>
          <w:kern w:val="0"/>
          <w:sz w:val="24"/>
        </w:rPr>
        <w:t>7.2若投标人为非法人机构的，招标文件中的法定代表人同时也指其他组织的负责人。</w:t>
      </w:r>
    </w:p>
    <w:p w14:paraId="7B8D59F1">
      <w:pPr>
        <w:spacing w:line="360" w:lineRule="auto"/>
        <w:ind w:firstLine="480" w:firstLineChars="200"/>
        <w:rPr>
          <w:rFonts w:hint="eastAsia" w:ascii="宋体" w:hAnsi="宋体" w:cs="宋体"/>
          <w:kern w:val="0"/>
          <w:sz w:val="24"/>
        </w:rPr>
      </w:pPr>
      <w:r>
        <w:rPr>
          <w:rFonts w:hint="eastAsia" w:ascii="宋体" w:hAnsi="宋体" w:cs="宋体"/>
          <w:sz w:val="24"/>
          <w:shd w:val="clear" w:color="auto" w:fill="FFFFFF" w:themeFill="background1"/>
        </w:rPr>
        <w:t>7.3本次项目采用全流程电子化采购方式，各供应商认真学习云南省政府采购电子交易平台（政采云）发布的相关操作手册。操作手册查询链接：https://helpcenter.zcygov.cn/document/#/document/dashboard?siteCode=yunnan。如有疑问联系95763。（1）供应商注册。供应商须在云南省政府采购电子交易平台注册后，方可参与项目。操作路径：云南省政府采购电子交易平台-业务支持-用户注册-供应商模块。（2）CA数字证书办理。供应商须办理有效CA数字证书。申领链接：https://middle.zcygov.cn/ca/apply/choose。（3）CA数字证书绑定。供应商进行CA绑定。操作路径：云南省政府采购电子交易平台-我的工作台-系统管理-ca管理-ca绑定。（4）采购文件获取。供应商须在采购公告规定的文件获取期限内，使用账号密码或ca数字证书登录平台，获取采购文件。操作路径：云南省政府采购电子交易平台-我的工作台-项目采购--获取采购文件。请务必在规定期限内获取采购文件，逾期将无法获取。（5）投标（响应）文件编制与递交。供应商须下载投标（响应）客户端，通过客户端编制投标（响应）文件，并线上递交。投标客户端下载路径：https://market.zcygov.cn/application-market/#/download/list（6）开评标。供应商须在项目指定的开标时间前，提前登录政府采购电子交易平台，并在规定时间内完成解密，如供应商因自身原因，无法在规定时间内解密的，自行承担后果（如：设备故障、浏览器故障、驱动故障、网络故障、加密CA与解密CA不一致等）。操作路径：云南省政府采购电子交易平台-我的工作台-项目采购-开标评标-进入开标大厅。</w:t>
      </w:r>
    </w:p>
    <w:p w14:paraId="78C066C3">
      <w:pPr>
        <w:pStyle w:val="4"/>
        <w:tabs>
          <w:tab w:val="clear" w:pos="1021"/>
        </w:tabs>
        <w:spacing w:before="156" w:beforeLines="50" w:after="156" w:afterLines="50"/>
        <w:ind w:left="0" w:firstLine="0"/>
        <w:rPr>
          <w:rFonts w:hint="eastAsia" w:ascii="宋体" w:hAnsi="宋体" w:eastAsia="宋体" w:cs="宋体"/>
          <w:bCs/>
          <w:sz w:val="24"/>
          <w:szCs w:val="24"/>
        </w:rPr>
      </w:pPr>
      <w:bookmarkStart w:id="51" w:name="_Toc28958"/>
      <w:bookmarkStart w:id="52" w:name="_Toc10259"/>
      <w:bookmarkStart w:id="53" w:name="_Toc28378"/>
      <w:bookmarkStart w:id="54" w:name="_Toc2219"/>
      <w:r>
        <w:rPr>
          <w:rFonts w:hint="eastAsia" w:ascii="宋体" w:hAnsi="宋体" w:eastAsia="宋体" w:cs="宋体"/>
          <w:bCs/>
          <w:sz w:val="24"/>
          <w:szCs w:val="24"/>
        </w:rPr>
        <w:t>七、对本次招标提出询问，请按以下方式联系。</w:t>
      </w:r>
      <w:bookmarkEnd w:id="4"/>
      <w:bookmarkEnd w:id="5"/>
      <w:bookmarkEnd w:id="6"/>
      <w:bookmarkEnd w:id="7"/>
      <w:bookmarkEnd w:id="51"/>
      <w:bookmarkEnd w:id="52"/>
      <w:bookmarkEnd w:id="53"/>
      <w:bookmarkEnd w:id="54"/>
    </w:p>
    <w:p w14:paraId="08333C8E">
      <w:pPr>
        <w:spacing w:line="360" w:lineRule="auto"/>
        <w:ind w:firstLine="480" w:firstLineChars="200"/>
        <w:rPr>
          <w:rFonts w:hint="eastAsia" w:ascii="宋体" w:hAnsi="宋体" w:cs="宋体"/>
          <w:sz w:val="24"/>
        </w:rPr>
      </w:pPr>
      <w:r>
        <w:rPr>
          <w:rFonts w:hint="eastAsia" w:ascii="宋体" w:hAnsi="宋体" w:cs="宋体"/>
          <w:sz w:val="24"/>
        </w:rPr>
        <w:t>1.采购人信息</w:t>
      </w:r>
    </w:p>
    <w:p w14:paraId="30A6D4DA">
      <w:pPr>
        <w:spacing w:line="360" w:lineRule="auto"/>
        <w:ind w:firstLine="480" w:firstLineChars="200"/>
        <w:rPr>
          <w:rFonts w:hint="eastAsia" w:ascii="宋体" w:hAnsi="宋体" w:cs="宋体"/>
          <w:sz w:val="24"/>
        </w:rPr>
      </w:pPr>
      <w:r>
        <w:rPr>
          <w:rFonts w:hint="eastAsia" w:ascii="宋体" w:hAnsi="宋体" w:cs="宋体"/>
          <w:sz w:val="24"/>
        </w:rPr>
        <w:t>名    称：玉溪市生态环境局</w:t>
      </w:r>
    </w:p>
    <w:p w14:paraId="0B406AB1">
      <w:pPr>
        <w:spacing w:line="360" w:lineRule="auto"/>
        <w:ind w:firstLine="480" w:firstLineChars="200"/>
        <w:rPr>
          <w:rFonts w:hint="eastAsia" w:ascii="宋体" w:hAnsi="宋体" w:cs="宋体"/>
          <w:sz w:val="24"/>
        </w:rPr>
      </w:pPr>
      <w:r>
        <w:rPr>
          <w:rFonts w:hint="eastAsia" w:ascii="宋体" w:hAnsi="宋体" w:cs="宋体"/>
          <w:sz w:val="24"/>
        </w:rPr>
        <w:t>地    址：</w:t>
      </w:r>
      <w:bookmarkStart w:id="55" w:name="OLE_LINK6"/>
      <w:r>
        <w:rPr>
          <w:rFonts w:ascii="宋体" w:hAnsi="宋体" w:cs="宋体"/>
          <w:sz w:val="24"/>
        </w:rPr>
        <w:t>玉溪市红塔区太极路中段亚太汽车城慧波大楼</w:t>
      </w:r>
      <w:bookmarkEnd w:id="55"/>
    </w:p>
    <w:p w14:paraId="4149C452">
      <w:pPr>
        <w:spacing w:line="360" w:lineRule="auto"/>
        <w:ind w:firstLine="480" w:firstLineChars="200"/>
        <w:rPr>
          <w:rFonts w:hint="eastAsia" w:ascii="宋体" w:hAnsi="宋体" w:cs="宋体"/>
          <w:sz w:val="24"/>
        </w:rPr>
      </w:pPr>
      <w:r>
        <w:rPr>
          <w:rFonts w:hint="eastAsia" w:ascii="宋体" w:hAnsi="宋体" w:cs="宋体"/>
          <w:sz w:val="24"/>
        </w:rPr>
        <w:t>联系方式：</w:t>
      </w:r>
    </w:p>
    <w:p w14:paraId="45FD4439">
      <w:pPr>
        <w:spacing w:line="360" w:lineRule="auto"/>
        <w:ind w:firstLine="480" w:firstLineChars="200"/>
        <w:rPr>
          <w:rFonts w:hint="eastAsia" w:ascii="宋体" w:hAnsi="宋体" w:cs="宋体"/>
          <w:sz w:val="24"/>
        </w:rPr>
      </w:pPr>
      <w:r>
        <w:rPr>
          <w:rFonts w:hint="eastAsia" w:ascii="宋体" w:hAnsi="宋体" w:cs="宋体"/>
          <w:sz w:val="24"/>
        </w:rPr>
        <w:t>2.采购代理机构信息</w:t>
      </w:r>
    </w:p>
    <w:p w14:paraId="202F0EA8">
      <w:pPr>
        <w:spacing w:line="360" w:lineRule="auto"/>
        <w:ind w:firstLine="480" w:firstLineChars="200"/>
        <w:rPr>
          <w:rFonts w:hint="eastAsia" w:ascii="宋体" w:hAnsi="宋体" w:cs="宋体"/>
          <w:sz w:val="24"/>
        </w:rPr>
      </w:pPr>
      <w:r>
        <w:rPr>
          <w:rFonts w:hint="eastAsia" w:ascii="宋体" w:hAnsi="宋体" w:cs="宋体"/>
          <w:sz w:val="24"/>
        </w:rPr>
        <w:t>名    称：云南璟鹏招标咨询有限公司</w:t>
      </w:r>
    </w:p>
    <w:p w14:paraId="4852159A">
      <w:pPr>
        <w:spacing w:line="360" w:lineRule="auto"/>
        <w:ind w:firstLine="480" w:firstLineChars="200"/>
        <w:rPr>
          <w:rFonts w:hint="eastAsia" w:ascii="宋体" w:hAnsi="宋体" w:cs="宋体"/>
          <w:sz w:val="24"/>
        </w:rPr>
      </w:pPr>
      <w:r>
        <w:rPr>
          <w:rFonts w:hint="eastAsia" w:ascii="宋体" w:hAnsi="宋体" w:cs="宋体"/>
          <w:sz w:val="24"/>
        </w:rPr>
        <w:t>地    址：云南省玉溪市红塔区玉兴街道办事处东风北路玉溪瑞航酒店东北38米（玉溪分公司）</w:t>
      </w:r>
    </w:p>
    <w:p w14:paraId="1013953B">
      <w:pPr>
        <w:spacing w:line="360" w:lineRule="auto"/>
        <w:ind w:firstLine="480" w:firstLineChars="200"/>
        <w:rPr>
          <w:rFonts w:hint="eastAsia" w:ascii="宋体" w:hAnsi="宋体" w:cs="宋体"/>
          <w:sz w:val="24"/>
        </w:rPr>
      </w:pPr>
      <w:r>
        <w:rPr>
          <w:rFonts w:hint="eastAsia" w:ascii="宋体" w:hAnsi="宋体" w:cs="宋体"/>
          <w:sz w:val="24"/>
        </w:rPr>
        <w:t>联系方式：19038699360、13577702799</w:t>
      </w:r>
    </w:p>
    <w:p w14:paraId="5A50BB91">
      <w:pPr>
        <w:spacing w:line="360" w:lineRule="auto"/>
        <w:ind w:firstLine="480" w:firstLineChars="200"/>
        <w:rPr>
          <w:rFonts w:hint="eastAsia" w:ascii="宋体" w:hAnsi="宋体" w:cs="宋体"/>
          <w:sz w:val="24"/>
        </w:rPr>
      </w:pPr>
      <w:r>
        <w:rPr>
          <w:rFonts w:hint="eastAsia" w:ascii="宋体" w:hAnsi="宋体" w:cs="宋体"/>
          <w:sz w:val="24"/>
        </w:rPr>
        <w:t>3.项目联系方式</w:t>
      </w:r>
    </w:p>
    <w:p w14:paraId="6638A049">
      <w:pPr>
        <w:spacing w:line="360" w:lineRule="auto"/>
        <w:ind w:firstLine="480" w:firstLineChars="200"/>
        <w:rPr>
          <w:rFonts w:hint="eastAsia" w:ascii="宋体" w:hAnsi="宋体" w:cs="宋体"/>
          <w:sz w:val="24"/>
        </w:rPr>
      </w:pPr>
      <w:r>
        <w:rPr>
          <w:rFonts w:hint="eastAsia" w:ascii="宋体" w:hAnsi="宋体" w:cs="宋体"/>
          <w:sz w:val="24"/>
        </w:rPr>
        <w:t>项目联系人：魏志鹍、李丽平</w:t>
      </w:r>
    </w:p>
    <w:p w14:paraId="2569FEF7">
      <w:pPr>
        <w:spacing w:line="360" w:lineRule="auto"/>
        <w:ind w:firstLine="480" w:firstLineChars="200"/>
        <w:rPr>
          <w:rFonts w:hint="eastAsia" w:ascii="宋体" w:hAnsi="宋体" w:cs="宋体"/>
          <w:sz w:val="24"/>
        </w:rPr>
      </w:pPr>
      <w:r>
        <w:rPr>
          <w:rFonts w:hint="eastAsia" w:ascii="宋体" w:hAnsi="宋体" w:cs="宋体"/>
          <w:sz w:val="24"/>
        </w:rPr>
        <w:t>电话：</w:t>
      </w:r>
      <w:bookmarkStart w:id="56" w:name="_Toc16794"/>
      <w:bookmarkEnd w:id="56"/>
      <w:bookmarkStart w:id="57" w:name="_Toc5498"/>
      <w:bookmarkEnd w:id="57"/>
      <w:bookmarkStart w:id="58" w:name="_Toc13994"/>
      <w:bookmarkEnd w:id="58"/>
      <w:bookmarkStart w:id="59" w:name="_Toc8120"/>
      <w:bookmarkEnd w:id="59"/>
      <w:bookmarkStart w:id="60" w:name="_Toc23419"/>
      <w:bookmarkEnd w:id="60"/>
      <w:r>
        <w:rPr>
          <w:rFonts w:hint="eastAsia" w:ascii="宋体" w:hAnsi="宋体" w:cs="宋体"/>
          <w:sz w:val="24"/>
        </w:rPr>
        <w:t>19038699360、13577702799</w:t>
      </w:r>
    </w:p>
    <w:p w14:paraId="6E671987">
      <w:pPr>
        <w:spacing w:line="360" w:lineRule="auto"/>
        <w:ind w:firstLine="480" w:firstLineChars="200"/>
        <w:rPr>
          <w:rFonts w:hint="eastAsia" w:ascii="宋体" w:hAnsi="宋体" w:cs="宋体"/>
          <w:sz w:val="24"/>
        </w:rPr>
      </w:pPr>
      <w:r>
        <w:rPr>
          <w:rFonts w:hint="eastAsia" w:ascii="宋体" w:hAnsi="宋体" w:cs="宋体"/>
          <w:sz w:val="24"/>
        </w:rPr>
        <w:t>日      期：2026年  月  日</w:t>
      </w:r>
    </w:p>
    <w:p w14:paraId="044B3B0B">
      <w:pPr>
        <w:spacing w:line="360" w:lineRule="auto"/>
        <w:rPr>
          <w:rFonts w:hint="eastAsia" w:ascii="宋体" w:hAnsi="宋体" w:cs="宋体"/>
        </w:rPr>
      </w:pPr>
      <w:r>
        <w:rPr>
          <w:rFonts w:hint="eastAsia" w:ascii="宋体" w:hAnsi="宋体" w:cs="宋体"/>
        </w:rPr>
        <w:br w:type="page"/>
      </w:r>
    </w:p>
    <w:p w14:paraId="5524D728">
      <w:pPr>
        <w:pStyle w:val="3"/>
        <w:jc w:val="center"/>
        <w:rPr>
          <w:rFonts w:hint="eastAsia" w:ascii="宋体" w:hAnsi="宋体" w:eastAsia="宋体" w:cs="宋体"/>
        </w:rPr>
      </w:pPr>
      <w:bookmarkStart w:id="61" w:name="_Toc4836"/>
      <w:bookmarkStart w:id="62" w:name="_Toc26692"/>
      <w:bookmarkStart w:id="63" w:name="_Toc32699"/>
      <w:bookmarkStart w:id="64" w:name="_Toc3967"/>
      <w:bookmarkStart w:id="65" w:name="_Toc9699"/>
      <w:r>
        <w:rPr>
          <w:rFonts w:hint="eastAsia" w:ascii="宋体" w:hAnsi="宋体" w:eastAsia="宋体" w:cs="宋体"/>
        </w:rPr>
        <w:t>第二章 投标人须知</w:t>
      </w:r>
      <w:bookmarkEnd w:id="61"/>
      <w:bookmarkEnd w:id="62"/>
      <w:bookmarkEnd w:id="63"/>
      <w:bookmarkEnd w:id="64"/>
      <w:bookmarkEnd w:id="65"/>
    </w:p>
    <w:p w14:paraId="015F0249">
      <w:pPr>
        <w:spacing w:line="360" w:lineRule="auto"/>
        <w:jc w:val="center"/>
        <w:outlineLvl w:val="1"/>
        <w:rPr>
          <w:rFonts w:hint="eastAsia" w:ascii="宋体" w:hAnsi="宋体" w:cs="宋体"/>
          <w:sz w:val="28"/>
          <w:szCs w:val="28"/>
        </w:rPr>
      </w:pPr>
      <w:bookmarkStart w:id="66" w:name="_Toc22372"/>
      <w:bookmarkStart w:id="67" w:name="_Toc14202"/>
      <w:bookmarkStart w:id="68" w:name="_Toc3367"/>
      <w:bookmarkStart w:id="69" w:name="_Toc6189"/>
      <w:bookmarkStart w:id="70" w:name="_Toc451172696"/>
      <w:bookmarkStart w:id="71" w:name="_Toc11219"/>
      <w:bookmarkStart w:id="72" w:name="_Toc28285"/>
      <w:bookmarkStart w:id="73" w:name="_Toc14357"/>
      <w:r>
        <w:rPr>
          <w:rFonts w:hint="eastAsia" w:ascii="宋体" w:hAnsi="宋体" w:cs="宋体"/>
          <w:b/>
          <w:bCs/>
          <w:sz w:val="28"/>
          <w:szCs w:val="28"/>
        </w:rPr>
        <w:t>投标人须知前附表</w:t>
      </w:r>
      <w:bookmarkEnd w:id="66"/>
      <w:bookmarkEnd w:id="67"/>
      <w:bookmarkEnd w:id="68"/>
      <w:bookmarkEnd w:id="69"/>
      <w:bookmarkEnd w:id="70"/>
      <w:bookmarkEnd w:id="71"/>
      <w:bookmarkEnd w:id="72"/>
      <w:bookmarkEnd w:id="73"/>
    </w:p>
    <w:tbl>
      <w:tblPr>
        <w:tblStyle w:val="23"/>
        <w:tblW w:w="10085"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423"/>
        <w:gridCol w:w="1824"/>
        <w:gridCol w:w="586"/>
        <w:gridCol w:w="7252"/>
      </w:tblGrid>
      <w:tr w14:paraId="1EE4DED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09" w:hRule="atLeast"/>
          <w:jc w:val="center"/>
        </w:trPr>
        <w:tc>
          <w:tcPr>
            <w:tcW w:w="423" w:type="dxa"/>
            <w:tcBorders>
              <w:top w:val="single" w:color="000000" w:sz="0" w:space="0"/>
              <w:left w:val="single" w:color="000000" w:sz="0" w:space="0"/>
              <w:bottom w:val="single" w:color="000000" w:sz="0" w:space="0"/>
              <w:right w:val="single" w:color="000000" w:sz="0" w:space="0"/>
            </w:tcBorders>
            <w:shd w:val="solid" w:color="FFFFFF" w:fill="auto"/>
            <w:tcMar>
              <w:top w:w="0" w:type="dxa"/>
              <w:left w:w="0" w:type="dxa"/>
              <w:bottom w:w="0" w:type="dxa"/>
              <w:right w:w="0" w:type="dxa"/>
            </w:tcMar>
            <w:vAlign w:val="center"/>
          </w:tcPr>
          <w:p w14:paraId="34E75B73">
            <w:pPr>
              <w:spacing w:line="360" w:lineRule="auto"/>
              <w:jc w:val="center"/>
              <w:rPr>
                <w:rFonts w:hint="eastAsia" w:ascii="宋体" w:hAnsi="宋体" w:cs="宋体"/>
                <w:b/>
                <w:bCs/>
                <w:sz w:val="24"/>
              </w:rPr>
            </w:pPr>
            <w:r>
              <w:rPr>
                <w:rFonts w:hint="eastAsia" w:ascii="宋体" w:hAnsi="宋体" w:cs="宋体"/>
                <w:b/>
                <w:bCs/>
                <w:sz w:val="24"/>
              </w:rPr>
              <w:t>序号</w:t>
            </w:r>
          </w:p>
        </w:tc>
        <w:tc>
          <w:tcPr>
            <w:tcW w:w="2410" w:type="dxa"/>
            <w:gridSpan w:val="2"/>
            <w:tcBorders>
              <w:left w:val="single" w:color="000000" w:sz="6" w:space="0"/>
            </w:tcBorders>
            <w:shd w:val="solid" w:color="FFFFFF" w:fill="auto"/>
            <w:tcMar>
              <w:top w:w="0" w:type="dxa"/>
              <w:left w:w="0" w:type="dxa"/>
              <w:bottom w:w="0" w:type="dxa"/>
              <w:right w:w="0" w:type="dxa"/>
            </w:tcMar>
            <w:vAlign w:val="center"/>
          </w:tcPr>
          <w:p w14:paraId="2AAC15B5">
            <w:pPr>
              <w:spacing w:line="360" w:lineRule="auto"/>
              <w:jc w:val="center"/>
              <w:rPr>
                <w:rFonts w:hint="eastAsia" w:ascii="宋体" w:hAnsi="宋体" w:cs="宋体"/>
                <w:b/>
                <w:bCs/>
                <w:sz w:val="24"/>
              </w:rPr>
            </w:pPr>
            <w:r>
              <w:rPr>
                <w:rFonts w:hint="eastAsia" w:ascii="宋体" w:hAnsi="宋体" w:cs="宋体"/>
                <w:b/>
                <w:bCs/>
                <w:sz w:val="24"/>
              </w:rPr>
              <w:t>条款名称</w:t>
            </w:r>
          </w:p>
        </w:tc>
        <w:tc>
          <w:tcPr>
            <w:tcW w:w="7252" w:type="dxa"/>
            <w:tcBorders>
              <w:left w:val="single" w:color="000000" w:sz="6" w:space="0"/>
            </w:tcBorders>
            <w:shd w:val="solid" w:color="FFFFFF" w:fill="auto"/>
            <w:tcMar>
              <w:top w:w="0" w:type="dxa"/>
              <w:left w:w="0" w:type="dxa"/>
              <w:bottom w:w="0" w:type="dxa"/>
              <w:right w:w="0" w:type="dxa"/>
            </w:tcMar>
            <w:vAlign w:val="center"/>
          </w:tcPr>
          <w:p w14:paraId="26C9984F">
            <w:pPr>
              <w:spacing w:line="360" w:lineRule="auto"/>
              <w:jc w:val="center"/>
              <w:rPr>
                <w:rFonts w:hint="eastAsia" w:ascii="宋体" w:hAnsi="宋体" w:cs="宋体"/>
                <w:b/>
                <w:bCs/>
                <w:sz w:val="24"/>
              </w:rPr>
            </w:pPr>
            <w:r>
              <w:rPr>
                <w:rFonts w:hint="eastAsia" w:ascii="宋体" w:hAnsi="宋体" w:cs="宋体"/>
                <w:b/>
                <w:bCs/>
                <w:sz w:val="24"/>
              </w:rPr>
              <w:t>说明和要求</w:t>
            </w:r>
          </w:p>
        </w:tc>
      </w:tr>
      <w:tr w14:paraId="702D617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423" w:type="dxa"/>
            <w:tcBorders>
              <w:top w:val="single" w:color="000000" w:sz="6" w:space="0"/>
            </w:tcBorders>
            <w:shd w:val="solid" w:color="FFFFFF" w:fill="auto"/>
            <w:tcMar>
              <w:top w:w="0" w:type="dxa"/>
              <w:left w:w="0" w:type="dxa"/>
              <w:bottom w:w="0" w:type="dxa"/>
              <w:right w:w="0" w:type="dxa"/>
            </w:tcMar>
            <w:vAlign w:val="center"/>
          </w:tcPr>
          <w:p w14:paraId="4D45888D">
            <w:pPr>
              <w:spacing w:line="360" w:lineRule="auto"/>
              <w:jc w:val="center"/>
              <w:rPr>
                <w:rFonts w:hint="eastAsia" w:ascii="宋体" w:hAnsi="宋体" w:cs="宋体"/>
                <w:sz w:val="24"/>
              </w:rPr>
            </w:pPr>
            <w:r>
              <w:rPr>
                <w:rFonts w:hint="eastAsia" w:ascii="宋体" w:hAnsi="宋体" w:cs="宋体"/>
                <w:sz w:val="24"/>
              </w:rPr>
              <w:t>1</w:t>
            </w:r>
          </w:p>
        </w:tc>
        <w:tc>
          <w:tcPr>
            <w:tcW w:w="2410" w:type="dxa"/>
            <w:gridSpan w:val="2"/>
            <w:tcBorders>
              <w:top w:val="single" w:color="000000" w:sz="6" w:space="0"/>
              <w:left w:val="single" w:color="000000" w:sz="6" w:space="0"/>
            </w:tcBorders>
            <w:shd w:val="solid" w:color="FFFFFF" w:fill="auto"/>
            <w:tcMar>
              <w:top w:w="0" w:type="dxa"/>
              <w:left w:w="0" w:type="dxa"/>
              <w:bottom w:w="0" w:type="dxa"/>
              <w:right w:w="0" w:type="dxa"/>
            </w:tcMar>
            <w:vAlign w:val="center"/>
          </w:tcPr>
          <w:p w14:paraId="7F947262">
            <w:pPr>
              <w:spacing w:line="360" w:lineRule="auto"/>
              <w:jc w:val="center"/>
              <w:rPr>
                <w:rFonts w:hint="eastAsia" w:ascii="宋体" w:hAnsi="宋体" w:cs="宋体"/>
                <w:sz w:val="24"/>
              </w:rPr>
            </w:pPr>
            <w:r>
              <w:rPr>
                <w:rFonts w:hint="eastAsia" w:ascii="宋体" w:hAnsi="宋体" w:cs="宋体"/>
                <w:sz w:val="24"/>
              </w:rPr>
              <w:t>采购人</w:t>
            </w:r>
          </w:p>
        </w:tc>
        <w:tc>
          <w:tcPr>
            <w:tcW w:w="7252" w:type="dxa"/>
            <w:tcBorders>
              <w:top w:val="single" w:color="000000" w:sz="6" w:space="0"/>
              <w:left w:val="single" w:color="000000" w:sz="6" w:space="0"/>
            </w:tcBorders>
            <w:shd w:val="solid" w:color="FFFFFF" w:fill="auto"/>
            <w:tcMar>
              <w:top w:w="0" w:type="dxa"/>
              <w:left w:w="0" w:type="dxa"/>
              <w:bottom w:w="0" w:type="dxa"/>
              <w:right w:w="0" w:type="dxa"/>
            </w:tcMar>
            <w:vAlign w:val="center"/>
          </w:tcPr>
          <w:p w14:paraId="7CF503FF">
            <w:pPr>
              <w:spacing w:line="360" w:lineRule="auto"/>
              <w:jc w:val="left"/>
              <w:rPr>
                <w:rFonts w:hint="eastAsia" w:ascii="宋体" w:hAnsi="宋体" w:cs="宋体"/>
                <w:sz w:val="24"/>
              </w:rPr>
            </w:pPr>
            <w:r>
              <w:rPr>
                <w:rFonts w:hint="eastAsia" w:ascii="宋体" w:hAnsi="宋体" w:cs="宋体"/>
                <w:sz w:val="24"/>
              </w:rPr>
              <w:t>名    称：玉溪市生态环境局</w:t>
            </w:r>
          </w:p>
          <w:p w14:paraId="5EA74B24">
            <w:pPr>
              <w:spacing w:line="360" w:lineRule="auto"/>
              <w:jc w:val="left"/>
              <w:rPr>
                <w:rFonts w:hint="eastAsia" w:ascii="宋体" w:hAnsi="宋体" w:cs="宋体"/>
                <w:sz w:val="24"/>
              </w:rPr>
            </w:pPr>
            <w:r>
              <w:rPr>
                <w:rFonts w:hint="eastAsia" w:ascii="宋体" w:hAnsi="宋体" w:cs="宋体"/>
                <w:sz w:val="24"/>
              </w:rPr>
              <w:t>地    址：玉溪市红塔区太极路中段亚太汽车城慧波大楼</w:t>
            </w:r>
          </w:p>
          <w:p w14:paraId="52FA8782">
            <w:pPr>
              <w:spacing w:line="360" w:lineRule="auto"/>
              <w:jc w:val="left"/>
              <w:rPr>
                <w:rFonts w:hint="eastAsia" w:ascii="宋体" w:hAnsi="宋体" w:cs="宋体"/>
                <w:sz w:val="24"/>
              </w:rPr>
            </w:pPr>
            <w:r>
              <w:rPr>
                <w:rFonts w:hint="eastAsia" w:ascii="宋体" w:hAnsi="宋体" w:cs="宋体"/>
                <w:sz w:val="24"/>
              </w:rPr>
              <w:t>联系方式：</w:t>
            </w:r>
          </w:p>
        </w:tc>
      </w:tr>
      <w:tr w14:paraId="1C4F543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423" w:type="dxa"/>
            <w:tcBorders>
              <w:top w:val="single" w:color="000000" w:sz="6" w:space="0"/>
            </w:tcBorders>
            <w:shd w:val="solid" w:color="FFFFFF" w:fill="auto"/>
            <w:tcMar>
              <w:top w:w="0" w:type="dxa"/>
              <w:left w:w="0" w:type="dxa"/>
              <w:bottom w:w="0" w:type="dxa"/>
              <w:right w:w="0" w:type="dxa"/>
            </w:tcMar>
            <w:vAlign w:val="center"/>
          </w:tcPr>
          <w:p w14:paraId="1801DB65">
            <w:pPr>
              <w:spacing w:line="360" w:lineRule="auto"/>
              <w:jc w:val="center"/>
              <w:rPr>
                <w:rFonts w:hint="eastAsia" w:ascii="宋体" w:hAnsi="宋体" w:cs="宋体"/>
                <w:sz w:val="24"/>
              </w:rPr>
            </w:pPr>
            <w:r>
              <w:rPr>
                <w:rFonts w:hint="eastAsia" w:ascii="宋体" w:hAnsi="宋体" w:cs="宋体"/>
                <w:sz w:val="24"/>
              </w:rPr>
              <w:t>2</w:t>
            </w:r>
          </w:p>
        </w:tc>
        <w:tc>
          <w:tcPr>
            <w:tcW w:w="2410" w:type="dxa"/>
            <w:gridSpan w:val="2"/>
            <w:tcBorders>
              <w:top w:val="single" w:color="000000" w:sz="6" w:space="0"/>
              <w:left w:val="single" w:color="000000" w:sz="6" w:space="0"/>
            </w:tcBorders>
            <w:shd w:val="solid" w:color="FFFFFF" w:fill="auto"/>
            <w:tcMar>
              <w:top w:w="0" w:type="dxa"/>
              <w:left w:w="0" w:type="dxa"/>
              <w:bottom w:w="0" w:type="dxa"/>
              <w:right w:w="0" w:type="dxa"/>
            </w:tcMar>
            <w:vAlign w:val="center"/>
          </w:tcPr>
          <w:p w14:paraId="1A4A6339">
            <w:pPr>
              <w:spacing w:line="360" w:lineRule="auto"/>
              <w:jc w:val="center"/>
              <w:rPr>
                <w:rFonts w:hint="eastAsia" w:ascii="宋体" w:hAnsi="宋体" w:cs="宋体"/>
                <w:sz w:val="24"/>
              </w:rPr>
            </w:pPr>
            <w:r>
              <w:rPr>
                <w:rFonts w:hint="eastAsia" w:ascii="宋体" w:hAnsi="宋体" w:cs="宋体"/>
                <w:sz w:val="24"/>
              </w:rPr>
              <w:t>采购代理机构</w:t>
            </w:r>
          </w:p>
        </w:tc>
        <w:tc>
          <w:tcPr>
            <w:tcW w:w="7252" w:type="dxa"/>
            <w:tcBorders>
              <w:top w:val="single" w:color="000000" w:sz="6" w:space="0"/>
              <w:left w:val="single" w:color="000000" w:sz="6" w:space="0"/>
            </w:tcBorders>
            <w:shd w:val="solid" w:color="FFFFFF" w:fill="auto"/>
            <w:tcMar>
              <w:top w:w="0" w:type="dxa"/>
              <w:left w:w="0" w:type="dxa"/>
              <w:bottom w:w="0" w:type="dxa"/>
              <w:right w:w="0" w:type="dxa"/>
            </w:tcMar>
            <w:vAlign w:val="center"/>
          </w:tcPr>
          <w:p w14:paraId="32CD37A8">
            <w:pPr>
              <w:spacing w:line="360" w:lineRule="auto"/>
              <w:jc w:val="left"/>
              <w:rPr>
                <w:rFonts w:hint="eastAsia" w:ascii="宋体" w:hAnsi="宋体" w:cs="宋体"/>
                <w:sz w:val="24"/>
              </w:rPr>
            </w:pPr>
            <w:r>
              <w:rPr>
                <w:rFonts w:hint="eastAsia" w:ascii="宋体" w:hAnsi="宋体" w:cs="宋体"/>
                <w:sz w:val="24"/>
              </w:rPr>
              <w:t>名    称：云南璟鹏招标咨询有限公司</w:t>
            </w:r>
          </w:p>
          <w:p w14:paraId="05DCF97B">
            <w:pPr>
              <w:spacing w:line="360" w:lineRule="auto"/>
              <w:jc w:val="left"/>
              <w:rPr>
                <w:rFonts w:hint="eastAsia" w:ascii="宋体" w:hAnsi="宋体" w:cs="宋体"/>
                <w:sz w:val="24"/>
              </w:rPr>
            </w:pPr>
            <w:r>
              <w:rPr>
                <w:rFonts w:hint="eastAsia" w:ascii="宋体" w:hAnsi="宋体" w:cs="宋体"/>
                <w:sz w:val="24"/>
              </w:rPr>
              <w:t>地    址：云南省玉溪市红塔区玉兴街道办事处东风北路玉溪瑞航酒店东北38米（玉溪分公司）</w:t>
            </w:r>
          </w:p>
          <w:p w14:paraId="095BA82C">
            <w:pPr>
              <w:spacing w:line="360" w:lineRule="auto"/>
              <w:jc w:val="left"/>
              <w:rPr>
                <w:rFonts w:hint="eastAsia" w:ascii="宋体" w:hAnsi="宋体" w:cs="宋体"/>
                <w:sz w:val="24"/>
              </w:rPr>
            </w:pPr>
            <w:r>
              <w:rPr>
                <w:rFonts w:hint="eastAsia" w:ascii="宋体" w:hAnsi="宋体" w:cs="宋体"/>
                <w:sz w:val="24"/>
              </w:rPr>
              <w:t>联系方式：19038699360、13577702799</w:t>
            </w:r>
          </w:p>
        </w:tc>
      </w:tr>
      <w:tr w14:paraId="23B455B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423" w:type="dxa"/>
            <w:tcBorders>
              <w:top w:val="single" w:color="000000" w:sz="6" w:space="0"/>
            </w:tcBorders>
            <w:shd w:val="solid" w:color="FFFFFF" w:fill="auto"/>
            <w:tcMar>
              <w:top w:w="0" w:type="dxa"/>
              <w:left w:w="0" w:type="dxa"/>
              <w:bottom w:w="0" w:type="dxa"/>
              <w:right w:w="0" w:type="dxa"/>
            </w:tcMar>
            <w:vAlign w:val="center"/>
          </w:tcPr>
          <w:p w14:paraId="2A5E663F">
            <w:pPr>
              <w:spacing w:line="360" w:lineRule="auto"/>
              <w:jc w:val="center"/>
              <w:rPr>
                <w:rFonts w:hint="eastAsia" w:ascii="宋体" w:hAnsi="宋体" w:cs="宋体"/>
                <w:sz w:val="24"/>
              </w:rPr>
            </w:pPr>
            <w:r>
              <w:rPr>
                <w:rFonts w:hint="eastAsia" w:ascii="宋体" w:hAnsi="宋体" w:cs="宋体"/>
                <w:sz w:val="24"/>
              </w:rPr>
              <w:t>3</w:t>
            </w:r>
          </w:p>
        </w:tc>
        <w:tc>
          <w:tcPr>
            <w:tcW w:w="2410" w:type="dxa"/>
            <w:gridSpan w:val="2"/>
            <w:tcBorders>
              <w:top w:val="single" w:color="000000" w:sz="6" w:space="0"/>
              <w:left w:val="single" w:color="000000" w:sz="6" w:space="0"/>
            </w:tcBorders>
            <w:shd w:val="solid" w:color="FFFFFF" w:fill="auto"/>
            <w:tcMar>
              <w:top w:w="0" w:type="dxa"/>
              <w:left w:w="0" w:type="dxa"/>
              <w:bottom w:w="0" w:type="dxa"/>
              <w:right w:w="0" w:type="dxa"/>
            </w:tcMar>
            <w:vAlign w:val="center"/>
          </w:tcPr>
          <w:p w14:paraId="0285556F">
            <w:pPr>
              <w:spacing w:line="360" w:lineRule="auto"/>
              <w:jc w:val="center"/>
              <w:rPr>
                <w:rFonts w:hint="eastAsia" w:ascii="宋体" w:hAnsi="宋体" w:cs="宋体"/>
                <w:sz w:val="24"/>
              </w:rPr>
            </w:pPr>
            <w:r>
              <w:rPr>
                <w:rFonts w:hint="eastAsia" w:ascii="宋体" w:hAnsi="宋体" w:cs="宋体"/>
                <w:sz w:val="24"/>
              </w:rPr>
              <w:t>项目名称</w:t>
            </w:r>
          </w:p>
        </w:tc>
        <w:tc>
          <w:tcPr>
            <w:tcW w:w="7252" w:type="dxa"/>
            <w:tcBorders>
              <w:top w:val="single" w:color="000000" w:sz="6" w:space="0"/>
              <w:left w:val="single" w:color="000000" w:sz="6" w:space="0"/>
            </w:tcBorders>
            <w:shd w:val="solid" w:color="FFFFFF" w:fill="auto"/>
            <w:tcMar>
              <w:top w:w="0" w:type="dxa"/>
              <w:left w:w="0" w:type="dxa"/>
              <w:bottom w:w="0" w:type="dxa"/>
              <w:right w:w="0" w:type="dxa"/>
            </w:tcMar>
            <w:vAlign w:val="center"/>
          </w:tcPr>
          <w:p w14:paraId="502B2EEF">
            <w:pPr>
              <w:spacing w:line="360" w:lineRule="auto"/>
              <w:jc w:val="left"/>
              <w:rPr>
                <w:rFonts w:hint="eastAsia" w:ascii="宋体" w:hAnsi="宋体" w:cs="宋体"/>
                <w:sz w:val="24"/>
              </w:rPr>
            </w:pPr>
            <w:r>
              <w:rPr>
                <w:rFonts w:hint="eastAsia" w:ascii="宋体" w:hAnsi="宋体" w:cs="宋体"/>
                <w:sz w:val="24"/>
              </w:rPr>
              <w:t xml:space="preserve">玉溪市2026年生态环境监测能力提升项目 </w:t>
            </w:r>
          </w:p>
        </w:tc>
      </w:tr>
      <w:tr w14:paraId="6084F9D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50" w:hRule="atLeast"/>
          <w:jc w:val="center"/>
        </w:trPr>
        <w:tc>
          <w:tcPr>
            <w:tcW w:w="423" w:type="dxa"/>
            <w:tcBorders>
              <w:top w:val="single" w:color="000000" w:sz="6" w:space="0"/>
            </w:tcBorders>
            <w:shd w:val="solid" w:color="FFFFFF" w:fill="auto"/>
            <w:tcMar>
              <w:top w:w="0" w:type="dxa"/>
              <w:left w:w="0" w:type="dxa"/>
              <w:bottom w:w="0" w:type="dxa"/>
              <w:right w:w="0" w:type="dxa"/>
            </w:tcMar>
            <w:vAlign w:val="center"/>
          </w:tcPr>
          <w:p w14:paraId="58499550">
            <w:pPr>
              <w:spacing w:line="360" w:lineRule="auto"/>
              <w:jc w:val="center"/>
              <w:rPr>
                <w:rFonts w:hint="eastAsia" w:ascii="宋体" w:hAnsi="宋体" w:cs="宋体"/>
                <w:sz w:val="24"/>
              </w:rPr>
            </w:pPr>
            <w:r>
              <w:rPr>
                <w:rFonts w:hint="eastAsia" w:ascii="宋体" w:hAnsi="宋体" w:cs="宋体"/>
                <w:sz w:val="24"/>
              </w:rPr>
              <w:t>4</w:t>
            </w:r>
          </w:p>
        </w:tc>
        <w:tc>
          <w:tcPr>
            <w:tcW w:w="2410" w:type="dxa"/>
            <w:gridSpan w:val="2"/>
            <w:tcBorders>
              <w:top w:val="single" w:color="000000" w:sz="6" w:space="0"/>
              <w:left w:val="single" w:color="000000" w:sz="6" w:space="0"/>
            </w:tcBorders>
            <w:shd w:val="solid" w:color="FFFFFF" w:fill="auto"/>
            <w:tcMar>
              <w:top w:w="0" w:type="dxa"/>
              <w:left w:w="0" w:type="dxa"/>
              <w:bottom w:w="0" w:type="dxa"/>
              <w:right w:w="0" w:type="dxa"/>
            </w:tcMar>
            <w:vAlign w:val="center"/>
          </w:tcPr>
          <w:p w14:paraId="19F2089D">
            <w:pPr>
              <w:spacing w:line="360" w:lineRule="auto"/>
              <w:jc w:val="center"/>
              <w:rPr>
                <w:rFonts w:hint="eastAsia" w:ascii="宋体" w:hAnsi="宋体" w:cs="宋体"/>
                <w:sz w:val="24"/>
              </w:rPr>
            </w:pPr>
            <w:r>
              <w:rPr>
                <w:rFonts w:hint="eastAsia" w:ascii="宋体" w:hAnsi="宋体" w:cs="宋体"/>
                <w:sz w:val="24"/>
              </w:rPr>
              <w:t>项目编号</w:t>
            </w:r>
          </w:p>
        </w:tc>
        <w:tc>
          <w:tcPr>
            <w:tcW w:w="7252" w:type="dxa"/>
            <w:tcBorders>
              <w:top w:val="single" w:color="000000" w:sz="6" w:space="0"/>
              <w:left w:val="single" w:color="000000" w:sz="6" w:space="0"/>
            </w:tcBorders>
            <w:shd w:val="solid" w:color="FFFFFF" w:fill="auto"/>
            <w:tcMar>
              <w:top w:w="0" w:type="dxa"/>
              <w:left w:w="0" w:type="dxa"/>
              <w:bottom w:w="0" w:type="dxa"/>
              <w:right w:w="0" w:type="dxa"/>
            </w:tcMar>
            <w:vAlign w:val="center"/>
          </w:tcPr>
          <w:p w14:paraId="75412DBF">
            <w:pPr>
              <w:spacing w:line="360" w:lineRule="auto"/>
              <w:jc w:val="left"/>
              <w:rPr>
                <w:rFonts w:hint="eastAsia" w:ascii="宋体" w:hAnsi="宋体" w:cs="宋体"/>
                <w:sz w:val="24"/>
              </w:rPr>
            </w:pPr>
          </w:p>
        </w:tc>
      </w:tr>
      <w:tr w14:paraId="63F6503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423" w:type="dxa"/>
            <w:tcBorders>
              <w:top w:val="single" w:color="000000" w:sz="6" w:space="0"/>
            </w:tcBorders>
            <w:shd w:val="solid" w:color="FFFFFF" w:fill="auto"/>
            <w:tcMar>
              <w:top w:w="0" w:type="dxa"/>
              <w:left w:w="0" w:type="dxa"/>
              <w:bottom w:w="0" w:type="dxa"/>
              <w:right w:w="0" w:type="dxa"/>
            </w:tcMar>
            <w:vAlign w:val="center"/>
          </w:tcPr>
          <w:p w14:paraId="68726854">
            <w:pPr>
              <w:spacing w:line="360" w:lineRule="auto"/>
              <w:jc w:val="center"/>
              <w:rPr>
                <w:rFonts w:hint="eastAsia" w:ascii="宋体" w:hAnsi="宋体" w:cs="宋体"/>
                <w:sz w:val="24"/>
              </w:rPr>
            </w:pPr>
            <w:r>
              <w:rPr>
                <w:rFonts w:hint="eastAsia" w:ascii="宋体" w:hAnsi="宋体" w:cs="宋体"/>
                <w:sz w:val="24"/>
              </w:rPr>
              <w:t>5</w:t>
            </w:r>
          </w:p>
        </w:tc>
        <w:tc>
          <w:tcPr>
            <w:tcW w:w="2410" w:type="dxa"/>
            <w:gridSpan w:val="2"/>
            <w:tcBorders>
              <w:top w:val="single" w:color="000000" w:sz="6" w:space="0"/>
              <w:left w:val="single" w:color="000000" w:sz="6" w:space="0"/>
            </w:tcBorders>
            <w:shd w:val="solid" w:color="FFFFFF" w:fill="auto"/>
            <w:tcMar>
              <w:top w:w="0" w:type="dxa"/>
              <w:left w:w="0" w:type="dxa"/>
              <w:bottom w:w="0" w:type="dxa"/>
              <w:right w:w="0" w:type="dxa"/>
            </w:tcMar>
            <w:vAlign w:val="center"/>
          </w:tcPr>
          <w:p w14:paraId="08193E94">
            <w:pPr>
              <w:spacing w:line="360" w:lineRule="auto"/>
              <w:jc w:val="center"/>
              <w:rPr>
                <w:rFonts w:hint="eastAsia" w:ascii="宋体" w:hAnsi="宋体" w:cs="宋体"/>
                <w:sz w:val="24"/>
              </w:rPr>
            </w:pPr>
            <w:r>
              <w:rPr>
                <w:rFonts w:hint="eastAsia" w:ascii="宋体" w:hAnsi="宋体" w:cs="宋体"/>
                <w:sz w:val="24"/>
              </w:rPr>
              <w:t>采购内容</w:t>
            </w:r>
          </w:p>
        </w:tc>
        <w:tc>
          <w:tcPr>
            <w:tcW w:w="7252" w:type="dxa"/>
            <w:tcBorders>
              <w:top w:val="single" w:color="000000" w:sz="6" w:space="0"/>
              <w:left w:val="single" w:color="000000" w:sz="6" w:space="0"/>
            </w:tcBorders>
            <w:shd w:val="solid" w:color="FFFFFF" w:fill="auto"/>
            <w:tcMar>
              <w:top w:w="0" w:type="dxa"/>
              <w:left w:w="0" w:type="dxa"/>
              <w:bottom w:w="0" w:type="dxa"/>
              <w:right w:w="0" w:type="dxa"/>
            </w:tcMar>
            <w:vAlign w:val="center"/>
          </w:tcPr>
          <w:p w14:paraId="4B8261FF">
            <w:pPr>
              <w:spacing w:line="360" w:lineRule="auto"/>
              <w:jc w:val="left"/>
              <w:rPr>
                <w:rFonts w:hint="eastAsia" w:ascii="宋体" w:hAnsi="宋体" w:cs="宋体"/>
                <w:sz w:val="24"/>
              </w:rPr>
            </w:pPr>
            <w:r>
              <w:rPr>
                <w:rFonts w:hint="eastAsia" w:ascii="宋体" w:hAnsi="宋体" w:cs="宋体"/>
                <w:sz w:val="24"/>
              </w:rPr>
              <w:t>详见“第一章 招标公告”。</w:t>
            </w:r>
          </w:p>
        </w:tc>
      </w:tr>
      <w:tr w14:paraId="271A85B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423" w:type="dxa"/>
            <w:tcBorders>
              <w:top w:val="single" w:color="000000" w:sz="6" w:space="0"/>
            </w:tcBorders>
            <w:shd w:val="solid" w:color="FFFFFF" w:fill="auto"/>
            <w:tcMar>
              <w:top w:w="0" w:type="dxa"/>
              <w:left w:w="0" w:type="dxa"/>
              <w:bottom w:w="0" w:type="dxa"/>
              <w:right w:w="0" w:type="dxa"/>
            </w:tcMar>
            <w:vAlign w:val="center"/>
          </w:tcPr>
          <w:p w14:paraId="7B716E34">
            <w:pPr>
              <w:spacing w:line="360" w:lineRule="auto"/>
              <w:jc w:val="center"/>
              <w:rPr>
                <w:rFonts w:hint="eastAsia" w:ascii="宋体" w:hAnsi="宋体" w:cs="宋体"/>
                <w:sz w:val="24"/>
              </w:rPr>
            </w:pPr>
            <w:r>
              <w:rPr>
                <w:rFonts w:hint="eastAsia" w:ascii="宋体" w:hAnsi="宋体" w:cs="宋体"/>
                <w:sz w:val="24"/>
              </w:rPr>
              <w:t>6</w:t>
            </w:r>
          </w:p>
        </w:tc>
        <w:tc>
          <w:tcPr>
            <w:tcW w:w="2410" w:type="dxa"/>
            <w:gridSpan w:val="2"/>
            <w:tcBorders>
              <w:top w:val="single" w:color="000000" w:sz="6" w:space="0"/>
              <w:left w:val="single" w:color="000000" w:sz="6" w:space="0"/>
            </w:tcBorders>
            <w:shd w:val="solid" w:color="FFFFFF" w:fill="auto"/>
            <w:tcMar>
              <w:top w:w="0" w:type="dxa"/>
              <w:left w:w="0" w:type="dxa"/>
              <w:bottom w:w="0" w:type="dxa"/>
              <w:right w:w="0" w:type="dxa"/>
            </w:tcMar>
            <w:vAlign w:val="center"/>
          </w:tcPr>
          <w:p w14:paraId="499DC19E">
            <w:pPr>
              <w:spacing w:line="360" w:lineRule="auto"/>
              <w:jc w:val="center"/>
              <w:rPr>
                <w:rFonts w:hint="eastAsia" w:ascii="宋体" w:hAnsi="宋体" w:cs="宋体"/>
                <w:bCs/>
                <w:sz w:val="24"/>
              </w:rPr>
            </w:pPr>
            <w:r>
              <w:rPr>
                <w:rFonts w:hint="eastAsia" w:ascii="宋体" w:hAnsi="宋体" w:cs="宋体"/>
                <w:bCs/>
                <w:sz w:val="24"/>
              </w:rPr>
              <w:t>最高限价</w:t>
            </w:r>
          </w:p>
        </w:tc>
        <w:tc>
          <w:tcPr>
            <w:tcW w:w="7252" w:type="dxa"/>
            <w:tcBorders>
              <w:top w:val="single" w:color="000000" w:sz="6" w:space="0"/>
              <w:left w:val="single" w:color="000000" w:sz="6" w:space="0"/>
            </w:tcBorders>
            <w:shd w:val="solid" w:color="FFFFFF" w:fill="auto"/>
            <w:tcMar>
              <w:top w:w="0" w:type="dxa"/>
              <w:left w:w="0" w:type="dxa"/>
              <w:bottom w:w="0" w:type="dxa"/>
              <w:right w:w="0" w:type="dxa"/>
            </w:tcMar>
            <w:vAlign w:val="center"/>
          </w:tcPr>
          <w:p w14:paraId="4419A6A3">
            <w:pPr>
              <w:spacing w:line="360" w:lineRule="auto"/>
              <w:jc w:val="left"/>
              <w:rPr>
                <w:rFonts w:hint="eastAsia" w:ascii="宋体" w:hAnsi="宋体" w:cs="宋体"/>
                <w:sz w:val="24"/>
              </w:rPr>
            </w:pPr>
          </w:p>
        </w:tc>
      </w:tr>
      <w:tr w14:paraId="68F42A7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37" w:hRule="atLeast"/>
          <w:jc w:val="center"/>
        </w:trPr>
        <w:tc>
          <w:tcPr>
            <w:tcW w:w="423" w:type="dxa"/>
            <w:tcBorders>
              <w:top w:val="single" w:color="000000" w:sz="6" w:space="0"/>
            </w:tcBorders>
            <w:shd w:val="solid" w:color="FFFFFF" w:fill="auto"/>
            <w:tcMar>
              <w:top w:w="0" w:type="dxa"/>
              <w:left w:w="0" w:type="dxa"/>
              <w:bottom w:w="0" w:type="dxa"/>
              <w:right w:w="0" w:type="dxa"/>
            </w:tcMar>
            <w:vAlign w:val="center"/>
          </w:tcPr>
          <w:p w14:paraId="3F87C645">
            <w:pPr>
              <w:spacing w:line="360" w:lineRule="auto"/>
              <w:jc w:val="center"/>
              <w:rPr>
                <w:rFonts w:hint="eastAsia" w:ascii="宋体" w:hAnsi="宋体" w:cs="宋体"/>
                <w:sz w:val="24"/>
              </w:rPr>
            </w:pPr>
            <w:r>
              <w:rPr>
                <w:rFonts w:hint="eastAsia" w:ascii="宋体" w:hAnsi="宋体" w:cs="宋体"/>
                <w:sz w:val="24"/>
              </w:rPr>
              <w:t>7</w:t>
            </w:r>
          </w:p>
        </w:tc>
        <w:tc>
          <w:tcPr>
            <w:tcW w:w="2410" w:type="dxa"/>
            <w:gridSpan w:val="2"/>
            <w:tcBorders>
              <w:top w:val="single" w:color="000000" w:sz="6" w:space="0"/>
              <w:left w:val="single" w:color="000000" w:sz="6" w:space="0"/>
            </w:tcBorders>
            <w:shd w:val="solid" w:color="FFFFFF" w:fill="auto"/>
            <w:tcMar>
              <w:top w:w="0" w:type="dxa"/>
              <w:left w:w="0" w:type="dxa"/>
              <w:bottom w:w="0" w:type="dxa"/>
              <w:right w:w="0" w:type="dxa"/>
            </w:tcMar>
            <w:vAlign w:val="center"/>
          </w:tcPr>
          <w:p w14:paraId="56CE1F47">
            <w:pPr>
              <w:spacing w:line="360" w:lineRule="auto"/>
              <w:jc w:val="center"/>
              <w:rPr>
                <w:rFonts w:hint="eastAsia" w:ascii="宋体" w:hAnsi="宋体" w:cs="宋体"/>
                <w:sz w:val="24"/>
              </w:rPr>
            </w:pPr>
            <w:r>
              <w:rPr>
                <w:rFonts w:hint="eastAsia" w:ascii="宋体" w:hAnsi="宋体" w:cs="宋体"/>
                <w:sz w:val="24"/>
              </w:rPr>
              <w:t>资金情况</w:t>
            </w:r>
          </w:p>
        </w:tc>
        <w:tc>
          <w:tcPr>
            <w:tcW w:w="7252" w:type="dxa"/>
            <w:tcBorders>
              <w:top w:val="single" w:color="000000" w:sz="6" w:space="0"/>
              <w:left w:val="single" w:color="000000" w:sz="6" w:space="0"/>
            </w:tcBorders>
            <w:shd w:val="solid" w:color="FFFFFF" w:fill="auto"/>
            <w:tcMar>
              <w:top w:w="0" w:type="dxa"/>
              <w:left w:w="0" w:type="dxa"/>
              <w:bottom w:w="0" w:type="dxa"/>
              <w:right w:w="0" w:type="dxa"/>
            </w:tcMar>
            <w:vAlign w:val="center"/>
          </w:tcPr>
          <w:p w14:paraId="3C92DB4F">
            <w:pPr>
              <w:spacing w:line="360" w:lineRule="auto"/>
              <w:jc w:val="left"/>
              <w:rPr>
                <w:rFonts w:hint="eastAsia" w:ascii="宋体" w:hAnsi="宋体" w:cs="宋体"/>
                <w:sz w:val="24"/>
              </w:rPr>
            </w:pPr>
            <w:r>
              <w:rPr>
                <w:rFonts w:hint="eastAsia" w:ascii="宋体" w:hAnsi="宋体" w:cs="宋体"/>
                <w:sz w:val="24"/>
              </w:rPr>
              <w:t>已落实</w:t>
            </w:r>
          </w:p>
        </w:tc>
      </w:tr>
      <w:tr w14:paraId="75004DA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95" w:hRule="atLeast"/>
          <w:jc w:val="center"/>
        </w:trPr>
        <w:tc>
          <w:tcPr>
            <w:tcW w:w="423" w:type="dxa"/>
            <w:tcBorders>
              <w:top w:val="single" w:color="000000" w:sz="6" w:space="0"/>
            </w:tcBorders>
            <w:shd w:val="solid" w:color="FFFFFF" w:fill="auto"/>
            <w:tcMar>
              <w:top w:w="0" w:type="dxa"/>
              <w:left w:w="0" w:type="dxa"/>
              <w:bottom w:w="0" w:type="dxa"/>
              <w:right w:w="0" w:type="dxa"/>
            </w:tcMar>
            <w:vAlign w:val="center"/>
          </w:tcPr>
          <w:p w14:paraId="7A0EA724">
            <w:pPr>
              <w:spacing w:line="360" w:lineRule="auto"/>
              <w:jc w:val="center"/>
              <w:rPr>
                <w:rFonts w:hint="eastAsia" w:ascii="宋体" w:hAnsi="宋体" w:cs="宋体"/>
                <w:sz w:val="24"/>
              </w:rPr>
            </w:pPr>
            <w:r>
              <w:rPr>
                <w:rFonts w:hint="eastAsia" w:ascii="宋体" w:hAnsi="宋体" w:cs="宋体"/>
                <w:sz w:val="24"/>
              </w:rPr>
              <w:t>8</w:t>
            </w:r>
          </w:p>
        </w:tc>
        <w:tc>
          <w:tcPr>
            <w:tcW w:w="2410" w:type="dxa"/>
            <w:gridSpan w:val="2"/>
            <w:tcBorders>
              <w:top w:val="single" w:color="000000" w:sz="6" w:space="0"/>
              <w:left w:val="single" w:color="000000" w:sz="6" w:space="0"/>
            </w:tcBorders>
            <w:shd w:val="solid" w:color="FFFFFF" w:fill="auto"/>
            <w:tcMar>
              <w:top w:w="0" w:type="dxa"/>
              <w:left w:w="0" w:type="dxa"/>
              <w:bottom w:w="0" w:type="dxa"/>
              <w:right w:w="0" w:type="dxa"/>
            </w:tcMar>
            <w:vAlign w:val="center"/>
          </w:tcPr>
          <w:p w14:paraId="1F2F16F4">
            <w:pPr>
              <w:spacing w:line="360" w:lineRule="auto"/>
              <w:jc w:val="center"/>
              <w:rPr>
                <w:rFonts w:hint="eastAsia" w:ascii="宋体" w:hAnsi="宋体" w:cs="宋体"/>
                <w:sz w:val="24"/>
              </w:rPr>
            </w:pPr>
            <w:r>
              <w:rPr>
                <w:rFonts w:hint="eastAsia" w:ascii="宋体" w:hAnsi="宋体" w:cs="宋体"/>
                <w:sz w:val="24"/>
              </w:rPr>
              <w:t>采购方式</w:t>
            </w:r>
          </w:p>
        </w:tc>
        <w:tc>
          <w:tcPr>
            <w:tcW w:w="7252" w:type="dxa"/>
            <w:tcBorders>
              <w:top w:val="single" w:color="000000" w:sz="6" w:space="0"/>
              <w:left w:val="single" w:color="000000" w:sz="6" w:space="0"/>
            </w:tcBorders>
            <w:shd w:val="solid" w:color="FFFFFF" w:fill="auto"/>
            <w:tcMar>
              <w:top w:w="0" w:type="dxa"/>
              <w:left w:w="0" w:type="dxa"/>
              <w:bottom w:w="0" w:type="dxa"/>
              <w:right w:w="0" w:type="dxa"/>
            </w:tcMar>
            <w:vAlign w:val="center"/>
          </w:tcPr>
          <w:p w14:paraId="6C904051">
            <w:pPr>
              <w:spacing w:line="360" w:lineRule="auto"/>
              <w:jc w:val="left"/>
              <w:rPr>
                <w:rFonts w:hint="eastAsia" w:ascii="宋体" w:hAnsi="宋体" w:cs="宋体"/>
                <w:sz w:val="24"/>
              </w:rPr>
            </w:pPr>
            <w:r>
              <w:rPr>
                <w:rFonts w:hint="eastAsia" w:ascii="宋体" w:hAnsi="宋体" w:cs="宋体"/>
                <w:sz w:val="24"/>
              </w:rPr>
              <w:t>公开招标</w:t>
            </w:r>
          </w:p>
        </w:tc>
      </w:tr>
      <w:tr w14:paraId="0923F75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423" w:type="dxa"/>
            <w:tcBorders>
              <w:top w:val="single" w:color="000000" w:sz="6" w:space="0"/>
            </w:tcBorders>
            <w:shd w:val="solid" w:color="FFFFFF" w:fill="auto"/>
            <w:tcMar>
              <w:top w:w="0" w:type="dxa"/>
              <w:left w:w="0" w:type="dxa"/>
              <w:bottom w:w="0" w:type="dxa"/>
              <w:right w:w="0" w:type="dxa"/>
            </w:tcMar>
            <w:vAlign w:val="center"/>
          </w:tcPr>
          <w:p w14:paraId="27B0AF34">
            <w:pPr>
              <w:spacing w:line="360" w:lineRule="auto"/>
              <w:jc w:val="center"/>
              <w:rPr>
                <w:rFonts w:hint="eastAsia" w:ascii="宋体" w:hAnsi="宋体" w:cs="宋体"/>
                <w:sz w:val="24"/>
              </w:rPr>
            </w:pPr>
            <w:r>
              <w:rPr>
                <w:rFonts w:hint="eastAsia" w:ascii="宋体" w:hAnsi="宋体" w:cs="宋体"/>
                <w:sz w:val="24"/>
              </w:rPr>
              <w:t>9</w:t>
            </w:r>
          </w:p>
        </w:tc>
        <w:tc>
          <w:tcPr>
            <w:tcW w:w="2410" w:type="dxa"/>
            <w:gridSpan w:val="2"/>
            <w:tcBorders>
              <w:top w:val="single" w:color="000000" w:sz="6" w:space="0"/>
              <w:left w:val="single" w:color="000000" w:sz="6" w:space="0"/>
            </w:tcBorders>
            <w:shd w:val="solid" w:color="FFFFFF" w:fill="auto"/>
            <w:tcMar>
              <w:top w:w="0" w:type="dxa"/>
              <w:left w:w="0" w:type="dxa"/>
              <w:bottom w:w="0" w:type="dxa"/>
              <w:right w:w="0" w:type="dxa"/>
            </w:tcMar>
            <w:vAlign w:val="center"/>
          </w:tcPr>
          <w:p w14:paraId="403E3123">
            <w:pPr>
              <w:spacing w:line="360" w:lineRule="auto"/>
              <w:jc w:val="center"/>
              <w:rPr>
                <w:rFonts w:hint="eastAsia" w:ascii="宋体" w:hAnsi="宋体" w:cs="宋体"/>
                <w:sz w:val="24"/>
              </w:rPr>
            </w:pPr>
            <w:r>
              <w:rPr>
                <w:rFonts w:hint="eastAsia" w:ascii="宋体" w:hAnsi="宋体" w:cs="宋体"/>
                <w:sz w:val="24"/>
              </w:rPr>
              <w:t>评标方法</w:t>
            </w:r>
          </w:p>
        </w:tc>
        <w:tc>
          <w:tcPr>
            <w:tcW w:w="7252" w:type="dxa"/>
            <w:tcBorders>
              <w:top w:val="single" w:color="000000" w:sz="6" w:space="0"/>
              <w:left w:val="single" w:color="000000" w:sz="6" w:space="0"/>
            </w:tcBorders>
            <w:shd w:val="solid" w:color="FFFFFF" w:fill="auto"/>
            <w:tcMar>
              <w:top w:w="0" w:type="dxa"/>
              <w:left w:w="0" w:type="dxa"/>
              <w:bottom w:w="0" w:type="dxa"/>
              <w:right w:w="0" w:type="dxa"/>
            </w:tcMar>
            <w:vAlign w:val="center"/>
          </w:tcPr>
          <w:p w14:paraId="2CEFDDFD">
            <w:pPr>
              <w:spacing w:line="360" w:lineRule="auto"/>
              <w:jc w:val="left"/>
              <w:rPr>
                <w:rFonts w:hint="eastAsia" w:ascii="宋体" w:hAnsi="宋体" w:cs="宋体"/>
                <w:sz w:val="24"/>
              </w:rPr>
            </w:pPr>
            <w:r>
              <w:rPr>
                <w:rFonts w:hint="eastAsia" w:ascii="宋体" w:hAnsi="宋体" w:cs="宋体"/>
                <w:sz w:val="24"/>
              </w:rPr>
              <w:t>综合评分法</w:t>
            </w:r>
          </w:p>
        </w:tc>
      </w:tr>
      <w:tr w14:paraId="28335BE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93" w:hRule="atLeast"/>
          <w:jc w:val="center"/>
        </w:trPr>
        <w:tc>
          <w:tcPr>
            <w:tcW w:w="423" w:type="dxa"/>
            <w:tcBorders>
              <w:top w:val="single" w:color="000000" w:sz="6" w:space="0"/>
            </w:tcBorders>
            <w:shd w:val="solid" w:color="FFFFFF" w:fill="auto"/>
            <w:tcMar>
              <w:top w:w="0" w:type="dxa"/>
              <w:left w:w="0" w:type="dxa"/>
              <w:bottom w:w="0" w:type="dxa"/>
              <w:right w:w="0" w:type="dxa"/>
            </w:tcMar>
            <w:vAlign w:val="center"/>
          </w:tcPr>
          <w:p w14:paraId="43D3D869">
            <w:pPr>
              <w:spacing w:line="360" w:lineRule="auto"/>
              <w:jc w:val="center"/>
              <w:rPr>
                <w:rFonts w:hint="eastAsia" w:ascii="宋体" w:hAnsi="宋体" w:cs="宋体"/>
                <w:sz w:val="24"/>
              </w:rPr>
            </w:pPr>
            <w:r>
              <w:rPr>
                <w:rFonts w:hint="eastAsia" w:ascii="宋体" w:hAnsi="宋体" w:cs="宋体"/>
                <w:sz w:val="24"/>
              </w:rPr>
              <w:t>10</w:t>
            </w:r>
          </w:p>
        </w:tc>
        <w:tc>
          <w:tcPr>
            <w:tcW w:w="2410" w:type="dxa"/>
            <w:gridSpan w:val="2"/>
            <w:tcBorders>
              <w:top w:val="single" w:color="000000" w:sz="6" w:space="0"/>
              <w:left w:val="single" w:color="000000" w:sz="6" w:space="0"/>
            </w:tcBorders>
            <w:shd w:val="solid" w:color="FFFFFF" w:fill="auto"/>
            <w:tcMar>
              <w:top w:w="0" w:type="dxa"/>
              <w:left w:w="0" w:type="dxa"/>
              <w:bottom w:w="0" w:type="dxa"/>
              <w:right w:w="0" w:type="dxa"/>
            </w:tcMar>
            <w:vAlign w:val="center"/>
          </w:tcPr>
          <w:p w14:paraId="312202E5">
            <w:pPr>
              <w:spacing w:line="360" w:lineRule="auto"/>
              <w:jc w:val="center"/>
              <w:rPr>
                <w:rFonts w:hint="eastAsia" w:ascii="宋体" w:hAnsi="宋体" w:cs="宋体"/>
                <w:sz w:val="24"/>
              </w:rPr>
            </w:pPr>
            <w:r>
              <w:rPr>
                <w:rFonts w:hint="eastAsia" w:ascii="宋体" w:hAnsi="宋体" w:cs="宋体"/>
                <w:sz w:val="24"/>
              </w:rPr>
              <w:t>交货期</w:t>
            </w:r>
          </w:p>
        </w:tc>
        <w:tc>
          <w:tcPr>
            <w:tcW w:w="7252" w:type="dxa"/>
            <w:tcBorders>
              <w:top w:val="single" w:color="000000" w:sz="6" w:space="0"/>
              <w:left w:val="single" w:color="000000" w:sz="6" w:space="0"/>
            </w:tcBorders>
            <w:shd w:val="solid" w:color="FFFFFF" w:fill="auto"/>
            <w:tcMar>
              <w:top w:w="0" w:type="dxa"/>
              <w:left w:w="0" w:type="dxa"/>
              <w:bottom w:w="0" w:type="dxa"/>
              <w:right w:w="0" w:type="dxa"/>
            </w:tcMar>
            <w:vAlign w:val="center"/>
          </w:tcPr>
          <w:p w14:paraId="00D5E15D">
            <w:pPr>
              <w:spacing w:line="360" w:lineRule="auto"/>
              <w:jc w:val="left"/>
              <w:rPr>
                <w:rFonts w:hint="eastAsia" w:ascii="宋体" w:hAnsi="宋体" w:cs="宋体"/>
                <w:sz w:val="24"/>
              </w:rPr>
            </w:pPr>
            <w:r>
              <w:rPr>
                <w:rFonts w:hint="eastAsia" w:ascii="宋体" w:hAnsi="宋体" w:cs="宋体"/>
                <w:sz w:val="24"/>
              </w:rPr>
              <w:t>签订合同后45日历天内完成安装、调试、验收合格并交付使用。</w:t>
            </w:r>
          </w:p>
        </w:tc>
      </w:tr>
      <w:tr w14:paraId="2EA9FD4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93" w:hRule="atLeast"/>
          <w:jc w:val="center"/>
        </w:trPr>
        <w:tc>
          <w:tcPr>
            <w:tcW w:w="423" w:type="dxa"/>
            <w:tcBorders>
              <w:top w:val="single" w:color="000000" w:sz="6" w:space="0"/>
            </w:tcBorders>
            <w:shd w:val="solid" w:color="FFFFFF" w:fill="auto"/>
            <w:tcMar>
              <w:top w:w="0" w:type="dxa"/>
              <w:left w:w="0" w:type="dxa"/>
              <w:bottom w:w="0" w:type="dxa"/>
              <w:right w:w="0" w:type="dxa"/>
            </w:tcMar>
            <w:vAlign w:val="center"/>
          </w:tcPr>
          <w:p w14:paraId="555A0383">
            <w:pPr>
              <w:spacing w:line="360" w:lineRule="auto"/>
              <w:jc w:val="center"/>
              <w:rPr>
                <w:rFonts w:hint="eastAsia" w:ascii="宋体" w:hAnsi="宋体" w:cs="宋体"/>
                <w:sz w:val="24"/>
              </w:rPr>
            </w:pPr>
            <w:r>
              <w:rPr>
                <w:rFonts w:hint="eastAsia" w:ascii="宋体" w:hAnsi="宋体" w:cs="宋体"/>
                <w:sz w:val="24"/>
              </w:rPr>
              <w:t>11</w:t>
            </w:r>
          </w:p>
        </w:tc>
        <w:tc>
          <w:tcPr>
            <w:tcW w:w="2410" w:type="dxa"/>
            <w:gridSpan w:val="2"/>
            <w:tcBorders>
              <w:top w:val="single" w:color="000000" w:sz="6" w:space="0"/>
              <w:left w:val="single" w:color="000000" w:sz="6" w:space="0"/>
            </w:tcBorders>
            <w:shd w:val="solid" w:color="FFFFFF" w:fill="auto"/>
            <w:tcMar>
              <w:top w:w="0" w:type="dxa"/>
              <w:left w:w="0" w:type="dxa"/>
              <w:bottom w:w="0" w:type="dxa"/>
              <w:right w:w="0" w:type="dxa"/>
            </w:tcMar>
            <w:vAlign w:val="center"/>
          </w:tcPr>
          <w:p w14:paraId="7945A652">
            <w:pPr>
              <w:spacing w:line="360" w:lineRule="auto"/>
              <w:jc w:val="center"/>
              <w:rPr>
                <w:rFonts w:hint="eastAsia" w:ascii="宋体" w:hAnsi="宋体" w:cs="宋体"/>
                <w:sz w:val="24"/>
              </w:rPr>
            </w:pPr>
            <w:r>
              <w:rPr>
                <w:rFonts w:hint="eastAsia" w:ascii="宋体" w:hAnsi="宋体" w:cs="宋体"/>
                <w:sz w:val="24"/>
              </w:rPr>
              <w:t>交货地点</w:t>
            </w:r>
          </w:p>
        </w:tc>
        <w:tc>
          <w:tcPr>
            <w:tcW w:w="7252" w:type="dxa"/>
            <w:tcBorders>
              <w:top w:val="single" w:color="000000" w:sz="6" w:space="0"/>
              <w:left w:val="single" w:color="000000" w:sz="6" w:space="0"/>
            </w:tcBorders>
            <w:shd w:val="solid" w:color="FFFFFF" w:fill="auto"/>
            <w:tcMar>
              <w:top w:w="0" w:type="dxa"/>
              <w:left w:w="0" w:type="dxa"/>
              <w:bottom w:w="0" w:type="dxa"/>
              <w:right w:w="0" w:type="dxa"/>
            </w:tcMar>
            <w:vAlign w:val="center"/>
          </w:tcPr>
          <w:p w14:paraId="000A8557">
            <w:pPr>
              <w:spacing w:line="360" w:lineRule="auto"/>
              <w:jc w:val="left"/>
              <w:rPr>
                <w:rFonts w:hint="eastAsia" w:ascii="宋体" w:hAnsi="宋体" w:cs="宋体"/>
                <w:sz w:val="24"/>
              </w:rPr>
            </w:pPr>
            <w:r>
              <w:rPr>
                <w:rFonts w:hint="eastAsia" w:ascii="宋体" w:hAnsi="宋体" w:cs="宋体"/>
                <w:sz w:val="24"/>
              </w:rPr>
              <w:t>采购人指定地点。</w:t>
            </w:r>
          </w:p>
        </w:tc>
      </w:tr>
      <w:tr w14:paraId="0347167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93" w:hRule="atLeast"/>
          <w:jc w:val="center"/>
        </w:trPr>
        <w:tc>
          <w:tcPr>
            <w:tcW w:w="423" w:type="dxa"/>
            <w:tcBorders>
              <w:top w:val="single" w:color="000000" w:sz="6" w:space="0"/>
            </w:tcBorders>
            <w:shd w:val="solid" w:color="FFFFFF" w:fill="auto"/>
            <w:tcMar>
              <w:top w:w="0" w:type="dxa"/>
              <w:left w:w="0" w:type="dxa"/>
              <w:bottom w:w="0" w:type="dxa"/>
              <w:right w:w="0" w:type="dxa"/>
            </w:tcMar>
            <w:vAlign w:val="center"/>
          </w:tcPr>
          <w:p w14:paraId="4A672A45">
            <w:pPr>
              <w:spacing w:line="360" w:lineRule="auto"/>
              <w:jc w:val="center"/>
              <w:rPr>
                <w:rFonts w:hint="eastAsia" w:ascii="宋体" w:hAnsi="宋体" w:cs="宋体"/>
                <w:sz w:val="24"/>
              </w:rPr>
            </w:pPr>
            <w:r>
              <w:rPr>
                <w:rFonts w:hint="eastAsia" w:ascii="宋体" w:hAnsi="宋体" w:cs="宋体"/>
                <w:sz w:val="24"/>
              </w:rPr>
              <w:t>12</w:t>
            </w:r>
          </w:p>
        </w:tc>
        <w:tc>
          <w:tcPr>
            <w:tcW w:w="2410" w:type="dxa"/>
            <w:gridSpan w:val="2"/>
            <w:tcBorders>
              <w:top w:val="single" w:color="000000" w:sz="6" w:space="0"/>
              <w:left w:val="single" w:color="000000" w:sz="6" w:space="0"/>
            </w:tcBorders>
            <w:shd w:val="solid" w:color="FFFFFF" w:fill="auto"/>
            <w:tcMar>
              <w:top w:w="0" w:type="dxa"/>
              <w:left w:w="0" w:type="dxa"/>
              <w:bottom w:w="0" w:type="dxa"/>
              <w:right w:w="0" w:type="dxa"/>
            </w:tcMar>
            <w:vAlign w:val="center"/>
          </w:tcPr>
          <w:p w14:paraId="72CD827D">
            <w:pPr>
              <w:spacing w:line="360" w:lineRule="auto"/>
              <w:jc w:val="center"/>
              <w:rPr>
                <w:rFonts w:hint="eastAsia" w:ascii="宋体" w:hAnsi="宋体" w:cs="宋体"/>
                <w:sz w:val="24"/>
              </w:rPr>
            </w:pPr>
            <w:r>
              <w:rPr>
                <w:rFonts w:hint="eastAsia" w:ascii="宋体" w:hAnsi="宋体" w:cs="宋体"/>
                <w:sz w:val="24"/>
              </w:rPr>
              <w:t>质保期</w:t>
            </w:r>
          </w:p>
        </w:tc>
        <w:tc>
          <w:tcPr>
            <w:tcW w:w="7252" w:type="dxa"/>
            <w:tcBorders>
              <w:top w:val="single" w:color="000000" w:sz="6" w:space="0"/>
              <w:left w:val="single" w:color="000000" w:sz="6" w:space="0"/>
            </w:tcBorders>
            <w:shd w:val="solid" w:color="FFFFFF" w:fill="auto"/>
            <w:tcMar>
              <w:top w:w="0" w:type="dxa"/>
              <w:left w:w="0" w:type="dxa"/>
              <w:bottom w:w="0" w:type="dxa"/>
              <w:right w:w="0" w:type="dxa"/>
            </w:tcMar>
            <w:vAlign w:val="center"/>
          </w:tcPr>
          <w:p w14:paraId="5113E50D">
            <w:pPr>
              <w:spacing w:line="360" w:lineRule="auto"/>
              <w:jc w:val="left"/>
              <w:rPr>
                <w:rFonts w:hint="eastAsia" w:ascii="宋体" w:hAnsi="宋体" w:cs="宋体"/>
                <w:sz w:val="24"/>
              </w:rPr>
            </w:pPr>
            <w:r>
              <w:rPr>
                <w:rFonts w:hint="eastAsia" w:ascii="宋体" w:hAnsi="宋体" w:cs="宋体"/>
                <w:sz w:val="24"/>
              </w:rPr>
              <w:t>以“第四章 采购需求及技术参数要求”中参数描述要求为准。</w:t>
            </w:r>
          </w:p>
        </w:tc>
      </w:tr>
      <w:tr w14:paraId="7358081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661" w:hRule="atLeast"/>
          <w:jc w:val="center"/>
        </w:trPr>
        <w:tc>
          <w:tcPr>
            <w:tcW w:w="423" w:type="dxa"/>
            <w:tcBorders>
              <w:top w:val="single" w:color="000000" w:sz="6" w:space="0"/>
            </w:tcBorders>
            <w:shd w:val="solid" w:color="FFFFFF" w:fill="auto"/>
            <w:tcMar>
              <w:top w:w="0" w:type="dxa"/>
              <w:left w:w="0" w:type="dxa"/>
              <w:bottom w:w="0" w:type="dxa"/>
              <w:right w:w="0" w:type="dxa"/>
            </w:tcMar>
            <w:vAlign w:val="center"/>
          </w:tcPr>
          <w:p w14:paraId="5934A40C">
            <w:pPr>
              <w:spacing w:line="360" w:lineRule="auto"/>
              <w:jc w:val="center"/>
              <w:rPr>
                <w:rFonts w:hint="eastAsia" w:ascii="宋体" w:hAnsi="宋体" w:cs="宋体"/>
                <w:sz w:val="24"/>
              </w:rPr>
            </w:pPr>
            <w:r>
              <w:rPr>
                <w:rFonts w:hint="eastAsia" w:ascii="宋体" w:hAnsi="宋体" w:cs="宋体"/>
                <w:sz w:val="24"/>
              </w:rPr>
              <w:t>13</w:t>
            </w:r>
          </w:p>
        </w:tc>
        <w:tc>
          <w:tcPr>
            <w:tcW w:w="2410" w:type="dxa"/>
            <w:gridSpan w:val="2"/>
            <w:tcBorders>
              <w:top w:val="single" w:color="000000" w:sz="6" w:space="0"/>
              <w:left w:val="single" w:color="000000" w:sz="6" w:space="0"/>
            </w:tcBorders>
            <w:shd w:val="solid" w:color="FFFFFF" w:fill="auto"/>
            <w:tcMar>
              <w:top w:w="0" w:type="dxa"/>
              <w:left w:w="0" w:type="dxa"/>
              <w:bottom w:w="0" w:type="dxa"/>
              <w:right w:w="0" w:type="dxa"/>
            </w:tcMar>
            <w:vAlign w:val="center"/>
          </w:tcPr>
          <w:p w14:paraId="538646A3">
            <w:pPr>
              <w:spacing w:line="360" w:lineRule="auto"/>
              <w:jc w:val="center"/>
              <w:rPr>
                <w:rFonts w:hint="eastAsia" w:ascii="宋体" w:hAnsi="宋体" w:cs="宋体"/>
                <w:sz w:val="24"/>
              </w:rPr>
            </w:pPr>
            <w:r>
              <w:rPr>
                <w:rFonts w:hint="eastAsia" w:ascii="宋体" w:hAnsi="宋体" w:cs="宋体"/>
                <w:sz w:val="24"/>
              </w:rPr>
              <w:t>质量标准</w:t>
            </w:r>
          </w:p>
        </w:tc>
        <w:tc>
          <w:tcPr>
            <w:tcW w:w="7252" w:type="dxa"/>
            <w:tcBorders>
              <w:top w:val="single" w:color="000000" w:sz="6" w:space="0"/>
              <w:left w:val="single" w:color="000000" w:sz="6" w:space="0"/>
            </w:tcBorders>
            <w:shd w:val="solid" w:color="FFFFFF" w:fill="auto"/>
            <w:tcMar>
              <w:top w:w="0" w:type="dxa"/>
              <w:left w:w="0" w:type="dxa"/>
              <w:bottom w:w="0" w:type="dxa"/>
              <w:right w:w="0" w:type="dxa"/>
            </w:tcMar>
            <w:vAlign w:val="center"/>
          </w:tcPr>
          <w:p w14:paraId="6150C9BB">
            <w:pPr>
              <w:spacing w:line="360" w:lineRule="auto"/>
              <w:jc w:val="left"/>
              <w:rPr>
                <w:rFonts w:hint="eastAsia" w:ascii="宋体" w:hAnsi="宋体" w:cs="宋体"/>
                <w:sz w:val="24"/>
              </w:rPr>
            </w:pPr>
            <w:r>
              <w:rPr>
                <w:rFonts w:hint="eastAsia" w:ascii="宋体" w:hAnsi="宋体" w:cs="宋体"/>
                <w:sz w:val="24"/>
              </w:rPr>
              <w:t>符合国家及地方现行的相关标准及法规政策，满足采购人验收要求。</w:t>
            </w:r>
          </w:p>
        </w:tc>
      </w:tr>
      <w:tr w14:paraId="722E3FE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423" w:type="dxa"/>
            <w:tcBorders>
              <w:top w:val="single" w:color="000000" w:sz="6" w:space="0"/>
            </w:tcBorders>
            <w:shd w:val="solid" w:color="FFFFFF" w:fill="auto"/>
            <w:tcMar>
              <w:top w:w="0" w:type="dxa"/>
              <w:left w:w="0" w:type="dxa"/>
              <w:bottom w:w="0" w:type="dxa"/>
              <w:right w:w="0" w:type="dxa"/>
            </w:tcMar>
            <w:vAlign w:val="center"/>
          </w:tcPr>
          <w:p w14:paraId="133A34B1">
            <w:pPr>
              <w:spacing w:line="360" w:lineRule="auto"/>
              <w:jc w:val="center"/>
              <w:rPr>
                <w:rFonts w:hint="eastAsia" w:ascii="宋体" w:hAnsi="宋体" w:cs="宋体"/>
                <w:sz w:val="24"/>
              </w:rPr>
            </w:pPr>
            <w:r>
              <w:rPr>
                <w:rFonts w:hint="eastAsia" w:ascii="宋体" w:hAnsi="宋体" w:cs="宋体"/>
                <w:sz w:val="24"/>
              </w:rPr>
              <w:t>14</w:t>
            </w:r>
          </w:p>
        </w:tc>
        <w:tc>
          <w:tcPr>
            <w:tcW w:w="2410" w:type="dxa"/>
            <w:gridSpan w:val="2"/>
            <w:tcBorders>
              <w:top w:val="single" w:color="000000" w:sz="6" w:space="0"/>
              <w:left w:val="single" w:color="000000" w:sz="6" w:space="0"/>
            </w:tcBorders>
            <w:shd w:val="solid" w:color="FFFFFF" w:fill="auto"/>
            <w:tcMar>
              <w:top w:w="0" w:type="dxa"/>
              <w:left w:w="0" w:type="dxa"/>
              <w:bottom w:w="0" w:type="dxa"/>
              <w:right w:w="0" w:type="dxa"/>
            </w:tcMar>
            <w:vAlign w:val="center"/>
          </w:tcPr>
          <w:p w14:paraId="3B042CEA">
            <w:pPr>
              <w:spacing w:line="360" w:lineRule="auto"/>
              <w:jc w:val="center"/>
              <w:rPr>
                <w:rFonts w:hint="eastAsia" w:ascii="宋体" w:hAnsi="宋体" w:cs="宋体"/>
                <w:sz w:val="24"/>
              </w:rPr>
            </w:pPr>
            <w:r>
              <w:rPr>
                <w:rFonts w:hint="eastAsia" w:ascii="宋体" w:hAnsi="宋体" w:cs="宋体"/>
                <w:sz w:val="24"/>
              </w:rPr>
              <w:t>履约保证金</w:t>
            </w:r>
          </w:p>
        </w:tc>
        <w:tc>
          <w:tcPr>
            <w:tcW w:w="7252" w:type="dxa"/>
            <w:tcBorders>
              <w:top w:val="single" w:color="000000" w:sz="6" w:space="0"/>
              <w:left w:val="single" w:color="000000" w:sz="6" w:space="0"/>
            </w:tcBorders>
            <w:shd w:val="solid" w:color="FFFFFF" w:fill="auto"/>
            <w:tcMar>
              <w:top w:w="0" w:type="dxa"/>
              <w:left w:w="0" w:type="dxa"/>
              <w:bottom w:w="0" w:type="dxa"/>
              <w:right w:w="0" w:type="dxa"/>
            </w:tcMar>
            <w:vAlign w:val="center"/>
          </w:tcPr>
          <w:p w14:paraId="2A3BD2D8">
            <w:pPr>
              <w:spacing w:line="360" w:lineRule="auto"/>
              <w:jc w:val="left"/>
              <w:rPr>
                <w:rFonts w:hint="eastAsia" w:ascii="宋体" w:hAnsi="宋体" w:cs="宋体"/>
                <w:sz w:val="24"/>
              </w:rPr>
            </w:pPr>
            <w:r>
              <w:rPr>
                <w:rFonts w:hint="eastAsia" w:ascii="宋体" w:hAnsi="宋体" w:cs="宋体"/>
                <w:sz w:val="24"/>
              </w:rPr>
              <w:sym w:font="Wingdings 2" w:char="0052"/>
            </w:r>
            <w:r>
              <w:rPr>
                <w:rFonts w:hint="eastAsia" w:ascii="宋体" w:hAnsi="宋体" w:cs="宋体"/>
                <w:sz w:val="24"/>
              </w:rPr>
              <w:t>要求，履约保证金的形式：</w:t>
            </w:r>
            <w:r>
              <w:rPr>
                <w:rFonts w:hint="eastAsia" w:ascii="宋体" w:hAnsi="宋体" w:cs="宋体"/>
                <w:sz w:val="24"/>
                <w:u w:val="single"/>
              </w:rPr>
              <w:t>支票、汇票、本票或者金融机构、担保机构出具的保函等非现金形式提交。</w:t>
            </w:r>
          </w:p>
          <w:p w14:paraId="54146708">
            <w:pPr>
              <w:spacing w:line="360" w:lineRule="auto"/>
              <w:jc w:val="left"/>
              <w:rPr>
                <w:rFonts w:hint="eastAsia" w:ascii="宋体" w:hAnsi="宋体" w:cs="宋体"/>
                <w:sz w:val="24"/>
              </w:rPr>
            </w:pPr>
            <w:r>
              <w:rPr>
                <w:rFonts w:hint="eastAsia" w:ascii="宋体" w:hAnsi="宋体" w:cs="宋体"/>
                <w:sz w:val="24"/>
              </w:rPr>
              <w:t>履约保证金缴纳时间：</w:t>
            </w:r>
            <w:r>
              <w:rPr>
                <w:rFonts w:hint="eastAsia" w:ascii="宋体" w:hAnsi="宋体" w:cs="宋体"/>
                <w:sz w:val="24"/>
                <w:u w:val="single"/>
              </w:rPr>
              <w:t>合同签订前5个工作日内。</w:t>
            </w:r>
          </w:p>
          <w:p w14:paraId="2DC19172">
            <w:pPr>
              <w:spacing w:line="360" w:lineRule="auto"/>
              <w:jc w:val="left"/>
              <w:rPr>
                <w:rFonts w:hint="eastAsia" w:ascii="宋体" w:hAnsi="宋体" w:cs="宋体"/>
                <w:sz w:val="24"/>
              </w:rPr>
            </w:pPr>
            <w:r>
              <w:rPr>
                <w:rFonts w:hint="eastAsia" w:ascii="宋体" w:hAnsi="宋体" w:cs="宋体"/>
                <w:sz w:val="24"/>
              </w:rPr>
              <w:t>履约保证金的金额：</w:t>
            </w:r>
            <w:r>
              <w:rPr>
                <w:rFonts w:hint="eastAsia" w:ascii="宋体" w:hAnsi="宋体" w:cs="宋体"/>
                <w:sz w:val="24"/>
                <w:u w:val="single"/>
              </w:rPr>
              <w:t>合同总金额的3%。</w:t>
            </w:r>
          </w:p>
          <w:p w14:paraId="75F59FB2">
            <w:pPr>
              <w:spacing w:line="360" w:lineRule="auto"/>
              <w:jc w:val="left"/>
              <w:rPr>
                <w:rFonts w:hint="eastAsia" w:ascii="宋体" w:hAnsi="宋体" w:cs="宋体"/>
                <w:sz w:val="24"/>
              </w:rPr>
            </w:pPr>
            <w:r>
              <w:rPr>
                <w:rFonts w:hint="eastAsia" w:ascii="宋体" w:hAnsi="宋体" w:cs="宋体"/>
                <w:sz w:val="24"/>
              </w:rPr>
              <w:t>履约保证金的退还：</w:t>
            </w:r>
            <w:r>
              <w:rPr>
                <w:rFonts w:hint="eastAsia" w:ascii="宋体" w:hAnsi="宋体" w:cs="宋体"/>
                <w:sz w:val="24"/>
                <w:u w:val="single"/>
              </w:rPr>
              <w:t>项目验收合格后30天内，无质量问题退还（不计利息）。</w:t>
            </w:r>
          </w:p>
          <w:p w14:paraId="6AFC7555">
            <w:pPr>
              <w:spacing w:line="360" w:lineRule="auto"/>
              <w:jc w:val="left"/>
              <w:rPr>
                <w:rFonts w:hint="eastAsia" w:ascii="宋体" w:hAnsi="宋体" w:cs="宋体"/>
                <w:sz w:val="24"/>
              </w:rPr>
            </w:pPr>
            <w:r>
              <w:rPr>
                <w:rFonts w:hint="eastAsia" w:ascii="宋体" w:hAnsi="宋体" w:cs="宋体"/>
                <w:sz w:val="24"/>
              </w:rPr>
              <w:t>□不要求。后续关于履约保证金的规定和要求相应失效。</w:t>
            </w:r>
          </w:p>
        </w:tc>
      </w:tr>
      <w:tr w14:paraId="48D93BA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060" w:hRule="atLeast"/>
          <w:jc w:val="center"/>
        </w:trPr>
        <w:tc>
          <w:tcPr>
            <w:tcW w:w="423" w:type="dxa"/>
            <w:tcBorders>
              <w:top w:val="single" w:color="000000" w:sz="6" w:space="0"/>
            </w:tcBorders>
            <w:shd w:val="solid" w:color="FFFFFF" w:fill="auto"/>
            <w:tcMar>
              <w:top w:w="0" w:type="dxa"/>
              <w:left w:w="0" w:type="dxa"/>
              <w:bottom w:w="0" w:type="dxa"/>
              <w:right w:w="0" w:type="dxa"/>
            </w:tcMar>
            <w:vAlign w:val="center"/>
          </w:tcPr>
          <w:p w14:paraId="73557A45">
            <w:pPr>
              <w:spacing w:line="360" w:lineRule="auto"/>
              <w:jc w:val="center"/>
              <w:rPr>
                <w:rFonts w:hint="eastAsia" w:ascii="宋体" w:hAnsi="宋体" w:cs="宋体"/>
                <w:sz w:val="24"/>
              </w:rPr>
            </w:pPr>
            <w:r>
              <w:rPr>
                <w:rFonts w:hint="eastAsia" w:ascii="宋体" w:hAnsi="宋体" w:cs="宋体"/>
                <w:sz w:val="24"/>
              </w:rPr>
              <w:t>15</w:t>
            </w:r>
          </w:p>
        </w:tc>
        <w:tc>
          <w:tcPr>
            <w:tcW w:w="2410" w:type="dxa"/>
            <w:gridSpan w:val="2"/>
            <w:tcBorders>
              <w:top w:val="single" w:color="000000" w:sz="6" w:space="0"/>
              <w:left w:val="single" w:color="000000" w:sz="6" w:space="0"/>
            </w:tcBorders>
            <w:shd w:val="solid" w:color="FFFFFF" w:fill="auto"/>
            <w:tcMar>
              <w:top w:w="0" w:type="dxa"/>
              <w:left w:w="0" w:type="dxa"/>
              <w:bottom w:w="0" w:type="dxa"/>
              <w:right w:w="0" w:type="dxa"/>
            </w:tcMar>
            <w:vAlign w:val="center"/>
          </w:tcPr>
          <w:p w14:paraId="314099AF">
            <w:pPr>
              <w:spacing w:line="360" w:lineRule="auto"/>
              <w:jc w:val="center"/>
              <w:rPr>
                <w:rFonts w:hint="eastAsia" w:ascii="宋体" w:hAnsi="宋体" w:cs="宋体"/>
                <w:sz w:val="24"/>
              </w:rPr>
            </w:pPr>
            <w:r>
              <w:rPr>
                <w:rFonts w:hint="eastAsia" w:ascii="宋体" w:hAnsi="宋体" w:cs="宋体"/>
                <w:sz w:val="24"/>
              </w:rPr>
              <w:t>投标人资格要求</w:t>
            </w:r>
          </w:p>
        </w:tc>
        <w:tc>
          <w:tcPr>
            <w:tcW w:w="7252" w:type="dxa"/>
            <w:tcBorders>
              <w:top w:val="single" w:color="000000" w:sz="6" w:space="0"/>
              <w:left w:val="single" w:color="000000" w:sz="6" w:space="0"/>
            </w:tcBorders>
            <w:shd w:val="solid" w:color="FFFFFF" w:fill="auto"/>
            <w:tcMar>
              <w:top w:w="0" w:type="dxa"/>
              <w:left w:w="0" w:type="dxa"/>
              <w:bottom w:w="0" w:type="dxa"/>
              <w:right w:w="0" w:type="dxa"/>
            </w:tcMar>
            <w:vAlign w:val="center"/>
          </w:tcPr>
          <w:p w14:paraId="1654A8B7">
            <w:pPr>
              <w:spacing w:line="360" w:lineRule="auto"/>
              <w:jc w:val="left"/>
              <w:rPr>
                <w:rFonts w:hint="eastAsia" w:ascii="宋体" w:hAnsi="宋体" w:cs="宋体"/>
                <w:sz w:val="24"/>
              </w:rPr>
            </w:pPr>
            <w:r>
              <w:rPr>
                <w:rFonts w:hint="eastAsia" w:ascii="宋体" w:hAnsi="宋体" w:cs="宋体"/>
                <w:sz w:val="24"/>
              </w:rPr>
              <w:t>详见第一章“招标公告”中的“二、申请人（投标人）的资格要求”。</w:t>
            </w:r>
          </w:p>
        </w:tc>
      </w:tr>
      <w:tr w14:paraId="390EC2C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423" w:type="dxa"/>
            <w:tcBorders>
              <w:top w:val="single" w:color="000000" w:sz="6" w:space="0"/>
            </w:tcBorders>
            <w:shd w:val="solid" w:color="FFFFFF" w:fill="auto"/>
            <w:tcMar>
              <w:top w:w="0" w:type="dxa"/>
              <w:left w:w="0" w:type="dxa"/>
              <w:bottom w:w="0" w:type="dxa"/>
              <w:right w:w="0" w:type="dxa"/>
            </w:tcMar>
            <w:vAlign w:val="center"/>
          </w:tcPr>
          <w:p w14:paraId="50D2B1AA">
            <w:pPr>
              <w:spacing w:line="360" w:lineRule="auto"/>
              <w:jc w:val="center"/>
              <w:rPr>
                <w:rFonts w:hint="eastAsia" w:ascii="宋体" w:hAnsi="宋体" w:cs="宋体"/>
                <w:sz w:val="24"/>
              </w:rPr>
            </w:pPr>
            <w:r>
              <w:rPr>
                <w:rFonts w:hint="eastAsia" w:ascii="宋体" w:hAnsi="宋体" w:cs="宋体"/>
                <w:sz w:val="24"/>
              </w:rPr>
              <w:t>16</w:t>
            </w:r>
          </w:p>
        </w:tc>
        <w:tc>
          <w:tcPr>
            <w:tcW w:w="2410" w:type="dxa"/>
            <w:gridSpan w:val="2"/>
            <w:tcBorders>
              <w:top w:val="single" w:color="000000" w:sz="6" w:space="0"/>
              <w:left w:val="single" w:color="000000" w:sz="6" w:space="0"/>
            </w:tcBorders>
            <w:shd w:val="solid" w:color="FFFFFF" w:fill="auto"/>
            <w:tcMar>
              <w:top w:w="0" w:type="dxa"/>
              <w:left w:w="0" w:type="dxa"/>
              <w:bottom w:w="0" w:type="dxa"/>
              <w:right w:w="0" w:type="dxa"/>
            </w:tcMar>
            <w:vAlign w:val="center"/>
          </w:tcPr>
          <w:p w14:paraId="3DF6967B">
            <w:pPr>
              <w:spacing w:line="360" w:lineRule="auto"/>
              <w:jc w:val="center"/>
              <w:rPr>
                <w:rFonts w:hint="eastAsia" w:ascii="宋体" w:hAnsi="宋体" w:cs="宋体"/>
                <w:sz w:val="24"/>
              </w:rPr>
            </w:pPr>
            <w:r>
              <w:rPr>
                <w:rFonts w:hint="eastAsia" w:ascii="宋体" w:hAnsi="宋体" w:cs="宋体"/>
                <w:sz w:val="24"/>
              </w:rPr>
              <w:t>考察现场、标前答疑会</w:t>
            </w:r>
          </w:p>
        </w:tc>
        <w:tc>
          <w:tcPr>
            <w:tcW w:w="7252" w:type="dxa"/>
            <w:tcBorders>
              <w:top w:val="single" w:color="000000" w:sz="6" w:space="0"/>
              <w:left w:val="single" w:color="000000" w:sz="6" w:space="0"/>
            </w:tcBorders>
            <w:shd w:val="solid" w:color="FFFFFF" w:fill="auto"/>
            <w:tcMar>
              <w:top w:w="0" w:type="dxa"/>
              <w:left w:w="0" w:type="dxa"/>
              <w:bottom w:w="0" w:type="dxa"/>
              <w:right w:w="0" w:type="dxa"/>
            </w:tcMar>
            <w:vAlign w:val="center"/>
          </w:tcPr>
          <w:p w14:paraId="37F7D0B7">
            <w:pPr>
              <w:spacing w:line="360" w:lineRule="auto"/>
              <w:jc w:val="left"/>
              <w:rPr>
                <w:rFonts w:hint="eastAsia" w:ascii="宋体" w:hAnsi="宋体" w:cs="宋体"/>
                <w:sz w:val="24"/>
              </w:rPr>
            </w:pPr>
            <w:r>
              <w:rPr>
                <w:rFonts w:hint="eastAsia" w:ascii="宋体" w:hAnsi="宋体" w:cs="宋体"/>
                <w:sz w:val="24"/>
              </w:rPr>
              <w:t>不组织</w:t>
            </w:r>
          </w:p>
        </w:tc>
      </w:tr>
      <w:tr w14:paraId="0EF0B25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423" w:type="dxa"/>
            <w:tcBorders>
              <w:top w:val="single" w:color="000000" w:sz="6" w:space="0"/>
            </w:tcBorders>
            <w:shd w:val="solid" w:color="FFFFFF" w:fill="auto"/>
            <w:tcMar>
              <w:top w:w="0" w:type="dxa"/>
              <w:left w:w="0" w:type="dxa"/>
              <w:bottom w:w="0" w:type="dxa"/>
              <w:right w:w="0" w:type="dxa"/>
            </w:tcMar>
            <w:vAlign w:val="center"/>
          </w:tcPr>
          <w:p w14:paraId="06529B38">
            <w:pPr>
              <w:spacing w:line="360" w:lineRule="auto"/>
              <w:jc w:val="center"/>
              <w:rPr>
                <w:rFonts w:hint="eastAsia" w:ascii="宋体" w:hAnsi="宋体" w:cs="宋体"/>
                <w:sz w:val="24"/>
              </w:rPr>
            </w:pPr>
            <w:r>
              <w:rPr>
                <w:rFonts w:hint="eastAsia" w:ascii="宋体" w:hAnsi="宋体" w:cs="宋体"/>
                <w:sz w:val="24"/>
              </w:rPr>
              <w:t>17</w:t>
            </w:r>
          </w:p>
        </w:tc>
        <w:tc>
          <w:tcPr>
            <w:tcW w:w="2410" w:type="dxa"/>
            <w:gridSpan w:val="2"/>
            <w:tcBorders>
              <w:top w:val="single" w:color="000000" w:sz="6" w:space="0"/>
              <w:left w:val="single" w:color="000000" w:sz="6" w:space="0"/>
            </w:tcBorders>
            <w:shd w:val="solid" w:color="FFFFFF" w:fill="auto"/>
            <w:tcMar>
              <w:top w:w="0" w:type="dxa"/>
              <w:left w:w="0" w:type="dxa"/>
              <w:bottom w:w="0" w:type="dxa"/>
              <w:right w:w="0" w:type="dxa"/>
            </w:tcMar>
            <w:vAlign w:val="center"/>
          </w:tcPr>
          <w:p w14:paraId="2A1967CC">
            <w:pPr>
              <w:spacing w:line="360" w:lineRule="auto"/>
              <w:jc w:val="center"/>
              <w:rPr>
                <w:rFonts w:hint="eastAsia" w:ascii="宋体" w:hAnsi="宋体" w:cs="宋体"/>
                <w:sz w:val="24"/>
              </w:rPr>
            </w:pPr>
            <w:r>
              <w:rPr>
                <w:rFonts w:hint="eastAsia" w:ascii="宋体" w:hAnsi="宋体" w:cs="宋体"/>
                <w:sz w:val="24"/>
              </w:rPr>
              <w:t>构成招标文件的其他文件</w:t>
            </w:r>
          </w:p>
        </w:tc>
        <w:tc>
          <w:tcPr>
            <w:tcW w:w="7252" w:type="dxa"/>
            <w:tcBorders>
              <w:top w:val="single" w:color="000000" w:sz="6" w:space="0"/>
              <w:left w:val="single" w:color="000000" w:sz="6" w:space="0"/>
            </w:tcBorders>
            <w:shd w:val="solid" w:color="FFFFFF" w:fill="auto"/>
            <w:tcMar>
              <w:top w:w="0" w:type="dxa"/>
              <w:left w:w="0" w:type="dxa"/>
              <w:bottom w:w="0" w:type="dxa"/>
              <w:right w:w="0" w:type="dxa"/>
            </w:tcMar>
            <w:vAlign w:val="center"/>
          </w:tcPr>
          <w:p w14:paraId="2BAFB648">
            <w:pPr>
              <w:spacing w:line="360" w:lineRule="auto"/>
              <w:jc w:val="left"/>
              <w:rPr>
                <w:rFonts w:hint="eastAsia" w:ascii="宋体" w:hAnsi="宋体" w:cs="宋体"/>
                <w:sz w:val="24"/>
              </w:rPr>
            </w:pPr>
            <w:r>
              <w:rPr>
                <w:rFonts w:hint="eastAsia" w:ascii="宋体" w:hAnsi="宋体" w:cs="宋体"/>
                <w:sz w:val="24"/>
              </w:rPr>
              <w:t>招标文件的澄清、修改书及有关补充通知为招标文件的有效组成部分。</w:t>
            </w:r>
          </w:p>
        </w:tc>
      </w:tr>
      <w:tr w14:paraId="6F0074C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423" w:type="dxa"/>
            <w:tcBorders>
              <w:top w:val="single" w:color="000000" w:sz="6" w:space="0"/>
            </w:tcBorders>
            <w:shd w:val="solid" w:color="FFFFFF" w:fill="auto"/>
            <w:tcMar>
              <w:top w:w="0" w:type="dxa"/>
              <w:left w:w="0" w:type="dxa"/>
              <w:bottom w:w="0" w:type="dxa"/>
              <w:right w:w="0" w:type="dxa"/>
            </w:tcMar>
            <w:vAlign w:val="center"/>
          </w:tcPr>
          <w:p w14:paraId="42F66056">
            <w:pPr>
              <w:spacing w:line="360" w:lineRule="auto"/>
              <w:jc w:val="center"/>
              <w:rPr>
                <w:rFonts w:hint="eastAsia" w:ascii="宋体" w:hAnsi="宋体" w:cs="宋体"/>
                <w:sz w:val="24"/>
              </w:rPr>
            </w:pPr>
            <w:r>
              <w:rPr>
                <w:rFonts w:hint="eastAsia" w:ascii="宋体" w:hAnsi="宋体" w:cs="宋体"/>
                <w:sz w:val="24"/>
              </w:rPr>
              <w:t>18</w:t>
            </w:r>
          </w:p>
        </w:tc>
        <w:tc>
          <w:tcPr>
            <w:tcW w:w="2410" w:type="dxa"/>
            <w:gridSpan w:val="2"/>
            <w:tcBorders>
              <w:top w:val="single" w:color="000000" w:sz="6" w:space="0"/>
              <w:left w:val="single" w:color="000000" w:sz="6" w:space="0"/>
            </w:tcBorders>
            <w:shd w:val="solid" w:color="FFFFFF" w:fill="auto"/>
            <w:tcMar>
              <w:top w:w="0" w:type="dxa"/>
              <w:left w:w="0" w:type="dxa"/>
              <w:bottom w:w="0" w:type="dxa"/>
              <w:right w:w="0" w:type="dxa"/>
            </w:tcMar>
            <w:vAlign w:val="center"/>
          </w:tcPr>
          <w:p w14:paraId="00DAADF2">
            <w:pPr>
              <w:spacing w:line="360" w:lineRule="auto"/>
              <w:jc w:val="center"/>
              <w:rPr>
                <w:rFonts w:hint="eastAsia" w:ascii="宋体" w:hAnsi="宋体" w:cs="宋体"/>
                <w:sz w:val="24"/>
              </w:rPr>
            </w:pPr>
            <w:r>
              <w:rPr>
                <w:rFonts w:hint="eastAsia" w:ascii="宋体" w:hAnsi="宋体" w:cs="宋体"/>
                <w:sz w:val="24"/>
              </w:rPr>
              <w:t>投标有效期</w:t>
            </w:r>
          </w:p>
        </w:tc>
        <w:tc>
          <w:tcPr>
            <w:tcW w:w="7252" w:type="dxa"/>
            <w:tcBorders>
              <w:top w:val="single" w:color="000000" w:sz="6" w:space="0"/>
              <w:left w:val="single" w:color="000000" w:sz="6" w:space="0"/>
            </w:tcBorders>
            <w:shd w:val="solid" w:color="FFFFFF" w:fill="auto"/>
            <w:tcMar>
              <w:top w:w="0" w:type="dxa"/>
              <w:left w:w="0" w:type="dxa"/>
              <w:bottom w:w="0" w:type="dxa"/>
              <w:right w:w="0" w:type="dxa"/>
            </w:tcMar>
            <w:vAlign w:val="center"/>
          </w:tcPr>
          <w:p w14:paraId="604FC333">
            <w:pPr>
              <w:spacing w:line="360" w:lineRule="auto"/>
              <w:jc w:val="left"/>
              <w:rPr>
                <w:rFonts w:hint="eastAsia" w:ascii="宋体" w:hAnsi="宋体" w:cs="宋体"/>
                <w:sz w:val="24"/>
              </w:rPr>
            </w:pPr>
            <w:r>
              <w:rPr>
                <w:rFonts w:hint="eastAsia" w:ascii="宋体" w:hAnsi="宋体" w:cs="宋体"/>
                <w:sz w:val="24"/>
              </w:rPr>
              <w:t>90日历天，从投标截止之日算起。</w:t>
            </w:r>
          </w:p>
        </w:tc>
      </w:tr>
      <w:tr w14:paraId="0FCB745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423" w:type="dxa"/>
            <w:tcBorders>
              <w:top w:val="single" w:color="000000" w:sz="6" w:space="0"/>
            </w:tcBorders>
            <w:shd w:val="solid" w:color="FFFFFF" w:fill="auto"/>
            <w:tcMar>
              <w:top w:w="0" w:type="dxa"/>
              <w:left w:w="0" w:type="dxa"/>
              <w:bottom w:w="0" w:type="dxa"/>
              <w:right w:w="0" w:type="dxa"/>
            </w:tcMar>
            <w:vAlign w:val="center"/>
          </w:tcPr>
          <w:p w14:paraId="7F8C3E18">
            <w:pPr>
              <w:spacing w:line="360" w:lineRule="auto"/>
              <w:jc w:val="center"/>
              <w:rPr>
                <w:rFonts w:hint="eastAsia" w:ascii="宋体" w:hAnsi="宋体" w:cs="宋体"/>
                <w:sz w:val="24"/>
              </w:rPr>
            </w:pPr>
            <w:r>
              <w:rPr>
                <w:rFonts w:hint="eastAsia" w:ascii="宋体" w:hAnsi="宋体" w:cs="宋体"/>
                <w:sz w:val="24"/>
              </w:rPr>
              <w:t>19</w:t>
            </w:r>
          </w:p>
        </w:tc>
        <w:tc>
          <w:tcPr>
            <w:tcW w:w="2410" w:type="dxa"/>
            <w:gridSpan w:val="2"/>
            <w:tcBorders>
              <w:top w:val="single" w:color="000000" w:sz="6" w:space="0"/>
              <w:left w:val="single" w:color="000000" w:sz="6" w:space="0"/>
            </w:tcBorders>
            <w:shd w:val="solid" w:color="FFFFFF" w:fill="auto"/>
            <w:tcMar>
              <w:top w:w="0" w:type="dxa"/>
              <w:left w:w="0" w:type="dxa"/>
              <w:bottom w:w="0" w:type="dxa"/>
              <w:right w:w="0" w:type="dxa"/>
            </w:tcMar>
            <w:vAlign w:val="center"/>
          </w:tcPr>
          <w:p w14:paraId="4237163B">
            <w:pPr>
              <w:spacing w:line="360" w:lineRule="auto"/>
              <w:jc w:val="center"/>
              <w:rPr>
                <w:rFonts w:hint="eastAsia" w:ascii="宋体" w:hAnsi="宋体" w:cs="宋体"/>
                <w:sz w:val="24"/>
              </w:rPr>
            </w:pPr>
            <w:r>
              <w:rPr>
                <w:rFonts w:hint="eastAsia" w:ascii="宋体" w:hAnsi="宋体" w:cs="宋体"/>
                <w:sz w:val="24"/>
              </w:rPr>
              <w:t>投标保证金</w:t>
            </w:r>
          </w:p>
        </w:tc>
        <w:tc>
          <w:tcPr>
            <w:tcW w:w="7252" w:type="dxa"/>
            <w:tcBorders>
              <w:top w:val="single" w:color="000000" w:sz="6" w:space="0"/>
              <w:left w:val="single" w:color="000000" w:sz="6" w:space="0"/>
            </w:tcBorders>
            <w:shd w:val="solid" w:color="FFFFFF" w:fill="auto"/>
            <w:tcMar>
              <w:top w:w="0" w:type="dxa"/>
              <w:left w:w="0" w:type="dxa"/>
              <w:bottom w:w="0" w:type="dxa"/>
              <w:right w:w="0" w:type="dxa"/>
            </w:tcMar>
            <w:vAlign w:val="center"/>
          </w:tcPr>
          <w:p w14:paraId="565CA47B">
            <w:pPr>
              <w:spacing w:line="360" w:lineRule="auto"/>
              <w:rPr>
                <w:rFonts w:hint="eastAsia" w:ascii="宋体" w:hAnsi="宋体" w:cs="宋体"/>
                <w:sz w:val="24"/>
              </w:rPr>
            </w:pPr>
            <w:r>
              <w:rPr>
                <w:rFonts w:hint="eastAsia" w:ascii="宋体" w:hAnsi="宋体" w:cs="宋体"/>
                <w:sz w:val="24"/>
              </w:rPr>
              <w:t>一、投标保证金金额：</w:t>
            </w:r>
          </w:p>
          <w:p w14:paraId="3B1EF4BA">
            <w:pPr>
              <w:spacing w:line="360" w:lineRule="auto"/>
              <w:rPr>
                <w:rFonts w:hint="eastAsia" w:ascii="宋体" w:hAnsi="宋体" w:cs="宋体"/>
                <w:b/>
                <w:bCs/>
                <w:sz w:val="24"/>
              </w:rPr>
            </w:pPr>
            <w:r>
              <w:rPr>
                <w:rFonts w:hint="eastAsia" w:ascii="宋体" w:hAnsi="宋体" w:cs="宋体"/>
                <w:b/>
                <w:bCs/>
                <w:sz w:val="24"/>
              </w:rPr>
              <w:t>（必须一次性提交，不可多交、少交、多笔提交）</w:t>
            </w:r>
          </w:p>
          <w:p w14:paraId="2D9F4895">
            <w:pPr>
              <w:spacing w:line="360" w:lineRule="auto"/>
              <w:rPr>
                <w:rFonts w:hint="eastAsia" w:ascii="宋体" w:hAnsi="宋体" w:cs="宋体"/>
                <w:sz w:val="24"/>
              </w:rPr>
            </w:pPr>
            <w:r>
              <w:rPr>
                <w:rFonts w:hint="eastAsia" w:ascii="宋体" w:hAnsi="宋体" w:cs="宋体"/>
                <w:sz w:val="24"/>
              </w:rPr>
              <w:t>二、保证金的提交形式：电汇、网银、支票、汇票、本票、银行转账、银行保函、保证保险等非现金形式提交。</w:t>
            </w:r>
          </w:p>
          <w:p w14:paraId="52B03AC5">
            <w:pPr>
              <w:spacing w:line="360" w:lineRule="auto"/>
              <w:rPr>
                <w:rFonts w:hint="eastAsia" w:ascii="宋体" w:hAnsi="宋体" w:cs="宋体"/>
                <w:sz w:val="24"/>
              </w:rPr>
            </w:pPr>
            <w:r>
              <w:rPr>
                <w:rStyle w:val="28"/>
                <w:rFonts w:hint="eastAsia" w:ascii="宋体" w:hAnsi="宋体" w:cs="宋体"/>
                <w:sz w:val="24"/>
              </w:rPr>
              <w:t>（1）保证金转账方式：按以下账户从</w:t>
            </w:r>
            <w:r>
              <w:rPr>
                <w:rFonts w:hint="eastAsia" w:ascii="宋体" w:hAnsi="宋体" w:cs="宋体"/>
                <w:sz w:val="24"/>
              </w:rPr>
              <w:t>供应商</w:t>
            </w:r>
            <w:r>
              <w:rPr>
                <w:rStyle w:val="28"/>
                <w:rFonts w:hint="eastAsia" w:ascii="宋体" w:hAnsi="宋体" w:cs="宋体"/>
                <w:sz w:val="24"/>
              </w:rPr>
              <w:t>的基本账号转账或电汇缴纳，转账（或电汇）时请备注项目名称及项目编号，以方便查收保证金是否到账。</w:t>
            </w:r>
          </w:p>
          <w:p w14:paraId="4DCB6BB6">
            <w:pPr>
              <w:spacing w:line="360" w:lineRule="auto"/>
              <w:rPr>
                <w:rFonts w:hint="eastAsia" w:ascii="宋体" w:hAnsi="宋体" w:cs="宋体"/>
                <w:b/>
                <w:bCs/>
                <w:sz w:val="24"/>
              </w:rPr>
            </w:pPr>
            <w:r>
              <w:rPr>
                <w:rFonts w:hint="eastAsia" w:ascii="宋体" w:hAnsi="宋体" w:cs="宋体"/>
                <w:b/>
                <w:bCs/>
                <w:sz w:val="24"/>
              </w:rPr>
              <w:t>账户名称：云南璟鹏招标咨询有限公司玉溪分公司</w:t>
            </w:r>
          </w:p>
          <w:p w14:paraId="0FEFFE49">
            <w:pPr>
              <w:spacing w:line="360" w:lineRule="auto"/>
              <w:rPr>
                <w:rFonts w:hint="eastAsia" w:ascii="宋体" w:hAnsi="宋体" w:cs="宋体"/>
                <w:b/>
                <w:bCs/>
                <w:sz w:val="24"/>
              </w:rPr>
            </w:pPr>
            <w:r>
              <w:rPr>
                <w:rFonts w:hint="eastAsia" w:ascii="宋体" w:hAnsi="宋体" w:cs="宋体"/>
                <w:b/>
                <w:bCs/>
                <w:sz w:val="24"/>
              </w:rPr>
              <w:t>开户银行：中国建设银行股份有限公司玉溪北苑支行</w:t>
            </w:r>
          </w:p>
          <w:p w14:paraId="04FAEFD8">
            <w:pPr>
              <w:spacing w:line="360" w:lineRule="auto"/>
              <w:rPr>
                <w:rFonts w:hint="eastAsia" w:ascii="宋体" w:hAnsi="宋体" w:cs="宋体"/>
                <w:b/>
                <w:bCs/>
                <w:sz w:val="24"/>
              </w:rPr>
            </w:pPr>
            <w:r>
              <w:rPr>
                <w:rFonts w:hint="eastAsia" w:ascii="宋体" w:hAnsi="宋体" w:cs="宋体"/>
                <w:b/>
                <w:bCs/>
                <w:sz w:val="24"/>
              </w:rPr>
              <w:t>银行账号：53050165613700000733</w:t>
            </w:r>
          </w:p>
          <w:p w14:paraId="29CFE339">
            <w:pPr>
              <w:spacing w:line="360" w:lineRule="auto"/>
              <w:rPr>
                <w:rFonts w:hint="eastAsia" w:ascii="宋体" w:hAnsi="宋体" w:cs="宋体"/>
                <w:b/>
                <w:bCs/>
                <w:sz w:val="24"/>
              </w:rPr>
            </w:pPr>
            <w:r>
              <w:rPr>
                <w:rFonts w:hint="eastAsia" w:ascii="宋体" w:hAnsi="宋体" w:cs="宋体"/>
                <w:b/>
                <w:bCs/>
                <w:sz w:val="24"/>
              </w:rPr>
              <w:t>联系人：李工</w:t>
            </w:r>
          </w:p>
          <w:p w14:paraId="274CCC90">
            <w:pPr>
              <w:spacing w:line="360" w:lineRule="auto"/>
              <w:rPr>
                <w:rFonts w:hint="eastAsia" w:ascii="宋体" w:hAnsi="宋体" w:cs="宋体"/>
                <w:b/>
                <w:bCs/>
                <w:sz w:val="24"/>
              </w:rPr>
            </w:pPr>
            <w:r>
              <w:rPr>
                <w:rFonts w:hint="eastAsia" w:ascii="宋体" w:hAnsi="宋体" w:cs="宋体"/>
                <w:b/>
                <w:bCs/>
                <w:sz w:val="24"/>
              </w:rPr>
              <w:t>联系电话：19038699360、13577702799</w:t>
            </w:r>
          </w:p>
          <w:p w14:paraId="48507565">
            <w:pPr>
              <w:autoSpaceDE w:val="0"/>
              <w:autoSpaceDN w:val="0"/>
              <w:adjustRightInd w:val="0"/>
              <w:snapToGrid w:val="0"/>
              <w:spacing w:after="156" w:afterLines="50"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注意事项：</w:t>
            </w:r>
          </w:p>
          <w:p w14:paraId="51B48FAA">
            <w:pPr>
              <w:autoSpaceDE w:val="0"/>
              <w:autoSpaceDN w:val="0"/>
              <w:adjustRightInd w:val="0"/>
              <w:snapToGrid w:val="0"/>
              <w:spacing w:after="156" w:afterLines="50"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投标人按照招标文件规定的投标保证金数额，自行转账到采购人指定账户，请注意以下事项：</w:t>
            </w:r>
          </w:p>
          <w:p w14:paraId="16F83CC9">
            <w:pPr>
              <w:spacing w:line="360" w:lineRule="auto"/>
              <w:rPr>
                <w:rStyle w:val="28"/>
                <w:rFonts w:hint="eastAsia" w:ascii="宋体" w:hAnsi="宋体" w:cs="宋体"/>
                <w:sz w:val="24"/>
              </w:rPr>
            </w:pPr>
            <w:r>
              <w:rPr>
                <w:rStyle w:val="28"/>
                <w:rFonts w:hint="eastAsia" w:ascii="宋体" w:hAnsi="宋体" w:cs="宋体"/>
                <w:sz w:val="24"/>
              </w:rPr>
              <w:t>1.投标保证金必须从投标人基本账户转出；</w:t>
            </w:r>
          </w:p>
          <w:p w14:paraId="4C409E32">
            <w:pPr>
              <w:spacing w:line="360" w:lineRule="auto"/>
              <w:rPr>
                <w:rStyle w:val="28"/>
                <w:rFonts w:hint="eastAsia" w:ascii="宋体" w:hAnsi="宋体" w:cs="宋体"/>
                <w:sz w:val="24"/>
              </w:rPr>
            </w:pPr>
            <w:r>
              <w:rPr>
                <w:rStyle w:val="28"/>
                <w:rFonts w:hint="eastAsia" w:ascii="宋体" w:hAnsi="宋体" w:cs="宋体"/>
                <w:sz w:val="24"/>
              </w:rPr>
              <w:t>2.保证金截止时间为投标截止时间，到账时间以保证金账户实际到账时间为准，未按时到账的保证金无效；</w:t>
            </w:r>
          </w:p>
          <w:p w14:paraId="6601C053">
            <w:pPr>
              <w:spacing w:line="360" w:lineRule="auto"/>
              <w:rPr>
                <w:rStyle w:val="28"/>
                <w:rFonts w:hint="eastAsia" w:ascii="宋体" w:hAnsi="宋体" w:cs="宋体"/>
                <w:sz w:val="24"/>
              </w:rPr>
            </w:pPr>
            <w:r>
              <w:rPr>
                <w:rStyle w:val="28"/>
                <w:rFonts w:hint="eastAsia" w:ascii="宋体" w:hAnsi="宋体" w:cs="宋体"/>
                <w:sz w:val="24"/>
              </w:rPr>
              <w:t>3.请投标人在汇款时务必注明采购项目编号，否则，因款项用途不明导致投标无效等后果由投标人自行承担；</w:t>
            </w:r>
          </w:p>
          <w:p w14:paraId="6C3C1A06">
            <w:pPr>
              <w:spacing w:line="360" w:lineRule="auto"/>
              <w:rPr>
                <w:rStyle w:val="28"/>
                <w:rFonts w:hint="eastAsia" w:ascii="宋体" w:hAnsi="宋体" w:cs="宋体"/>
                <w:sz w:val="24"/>
              </w:rPr>
            </w:pPr>
            <w:r>
              <w:rPr>
                <w:rStyle w:val="28"/>
                <w:rFonts w:hint="eastAsia" w:ascii="宋体" w:hAnsi="宋体" w:cs="宋体"/>
                <w:sz w:val="24"/>
              </w:rPr>
              <w:t>4.投标保证金有效期与投标有效期一致。</w:t>
            </w:r>
          </w:p>
          <w:p w14:paraId="58BF4B45">
            <w:pPr>
              <w:spacing w:line="360" w:lineRule="auto"/>
              <w:rPr>
                <w:rStyle w:val="28"/>
                <w:rFonts w:hint="eastAsia" w:ascii="宋体" w:hAnsi="宋体" w:cs="宋体"/>
                <w:sz w:val="24"/>
              </w:rPr>
            </w:pPr>
            <w:r>
              <w:rPr>
                <w:rStyle w:val="28"/>
                <w:rFonts w:hint="eastAsia" w:ascii="宋体" w:hAnsi="宋体" w:cs="宋体"/>
                <w:sz w:val="24"/>
              </w:rPr>
              <w:t>5.采购项目（标段）有投诉等特殊情况时，在特殊情况处理期间，暂缓退还所有投标人的投标保证金。</w:t>
            </w:r>
          </w:p>
          <w:p w14:paraId="3DB76FE8">
            <w:pPr>
              <w:spacing w:line="360" w:lineRule="auto"/>
              <w:rPr>
                <w:rStyle w:val="28"/>
                <w:rFonts w:hint="eastAsia" w:ascii="宋体" w:hAnsi="宋体" w:cs="宋体"/>
                <w:sz w:val="24"/>
              </w:rPr>
            </w:pPr>
            <w:r>
              <w:rPr>
                <w:rStyle w:val="28"/>
                <w:rFonts w:hint="eastAsia" w:ascii="宋体" w:hAnsi="宋体" w:cs="宋体"/>
                <w:sz w:val="24"/>
              </w:rPr>
              <w:t>6.投标保证金不予退还的情形：</w:t>
            </w:r>
          </w:p>
          <w:p w14:paraId="414CE8F4">
            <w:pPr>
              <w:spacing w:line="360" w:lineRule="auto"/>
              <w:rPr>
                <w:rFonts w:hint="eastAsia" w:ascii="宋体" w:hAnsi="宋体" w:cs="宋体"/>
                <w:sz w:val="24"/>
              </w:rPr>
            </w:pPr>
            <w:r>
              <w:rPr>
                <w:rFonts w:hint="eastAsia" w:ascii="宋体" w:hAnsi="宋体" w:cs="宋体"/>
                <w:sz w:val="24"/>
              </w:rPr>
              <w:t>（1）投标人在提交投标文件截止时间后撤回投标文件的；</w:t>
            </w:r>
          </w:p>
          <w:p w14:paraId="3E91B208">
            <w:pPr>
              <w:spacing w:line="360" w:lineRule="auto"/>
              <w:rPr>
                <w:rFonts w:hint="eastAsia" w:ascii="宋体" w:hAnsi="宋体" w:cs="宋体"/>
                <w:sz w:val="24"/>
              </w:rPr>
            </w:pPr>
            <w:r>
              <w:rPr>
                <w:rFonts w:hint="eastAsia" w:ascii="宋体" w:hAnsi="宋体" w:cs="宋体"/>
                <w:sz w:val="24"/>
              </w:rPr>
              <w:t>（2）投标人在投标文件中提供虚假材料的；</w:t>
            </w:r>
          </w:p>
          <w:p w14:paraId="7667AB21">
            <w:pPr>
              <w:spacing w:line="360" w:lineRule="auto"/>
              <w:rPr>
                <w:rFonts w:hint="eastAsia" w:ascii="宋体" w:hAnsi="宋体" w:cs="宋体"/>
                <w:sz w:val="24"/>
              </w:rPr>
            </w:pPr>
            <w:r>
              <w:rPr>
                <w:rFonts w:hint="eastAsia" w:ascii="宋体" w:hAnsi="宋体" w:cs="宋体"/>
                <w:sz w:val="24"/>
              </w:rPr>
              <w:t>（3）除因不可抗力或招标文件认可的情形以外，中标投标人不与采购人签订合同的；</w:t>
            </w:r>
          </w:p>
          <w:p w14:paraId="021D031C">
            <w:pPr>
              <w:spacing w:line="360" w:lineRule="auto"/>
              <w:rPr>
                <w:rFonts w:hint="eastAsia" w:ascii="宋体" w:hAnsi="宋体" w:cs="宋体"/>
                <w:sz w:val="24"/>
              </w:rPr>
            </w:pPr>
            <w:r>
              <w:rPr>
                <w:rFonts w:hint="eastAsia" w:ascii="宋体" w:hAnsi="宋体" w:cs="宋体"/>
                <w:sz w:val="24"/>
              </w:rPr>
              <w:t>（4）投标人与采购人、其他投标人或者采购代理机构恶意串通的；</w:t>
            </w:r>
          </w:p>
          <w:p w14:paraId="2E0CEEDD">
            <w:pPr>
              <w:spacing w:line="360" w:lineRule="auto"/>
              <w:rPr>
                <w:rStyle w:val="28"/>
                <w:rFonts w:hint="eastAsia" w:ascii="宋体" w:hAnsi="宋体" w:cs="宋体"/>
                <w:sz w:val="24"/>
              </w:rPr>
            </w:pPr>
            <w:r>
              <w:rPr>
                <w:rFonts w:hint="eastAsia" w:ascii="宋体" w:hAnsi="宋体" w:cs="宋体"/>
                <w:sz w:val="24"/>
              </w:rPr>
              <w:t>（5）法律法规规定的其他情形。</w:t>
            </w:r>
          </w:p>
          <w:p w14:paraId="413455C6">
            <w:pPr>
              <w:spacing w:line="360" w:lineRule="auto"/>
              <w:rPr>
                <w:rFonts w:hint="eastAsia" w:ascii="宋体" w:hAnsi="宋体" w:cs="宋体"/>
                <w:sz w:val="24"/>
              </w:rPr>
            </w:pPr>
            <w:r>
              <w:rPr>
                <w:rStyle w:val="28"/>
                <w:rFonts w:hint="eastAsia" w:ascii="宋体" w:hAnsi="宋体" w:cs="宋体"/>
                <w:sz w:val="24"/>
              </w:rPr>
              <w:t>8.采用保证保险方式：投标人可将保证保险扫描件上传至投标文件中。</w:t>
            </w:r>
          </w:p>
        </w:tc>
      </w:tr>
      <w:tr w14:paraId="3E94BE5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423" w:type="dxa"/>
            <w:tcBorders>
              <w:top w:val="single" w:color="000000" w:sz="6" w:space="0"/>
            </w:tcBorders>
            <w:shd w:val="solid" w:color="FFFFFF" w:fill="auto"/>
            <w:tcMar>
              <w:top w:w="0" w:type="dxa"/>
              <w:left w:w="0" w:type="dxa"/>
              <w:bottom w:w="0" w:type="dxa"/>
              <w:right w:w="0" w:type="dxa"/>
            </w:tcMar>
            <w:vAlign w:val="center"/>
          </w:tcPr>
          <w:p w14:paraId="0B3AADD5">
            <w:pPr>
              <w:spacing w:line="360" w:lineRule="auto"/>
              <w:jc w:val="center"/>
              <w:rPr>
                <w:rFonts w:hint="eastAsia" w:ascii="宋体" w:hAnsi="宋体" w:cs="宋体"/>
                <w:sz w:val="24"/>
              </w:rPr>
            </w:pPr>
            <w:r>
              <w:rPr>
                <w:rFonts w:hint="eastAsia" w:ascii="宋体" w:hAnsi="宋体" w:cs="宋体"/>
                <w:sz w:val="24"/>
              </w:rPr>
              <w:t>20</w:t>
            </w:r>
          </w:p>
        </w:tc>
        <w:tc>
          <w:tcPr>
            <w:tcW w:w="2410" w:type="dxa"/>
            <w:gridSpan w:val="2"/>
            <w:tcBorders>
              <w:top w:val="single" w:color="000000" w:sz="6" w:space="0"/>
              <w:left w:val="single" w:color="000000" w:sz="6" w:space="0"/>
            </w:tcBorders>
            <w:shd w:val="solid" w:color="FFFFFF" w:fill="auto"/>
            <w:tcMar>
              <w:top w:w="0" w:type="dxa"/>
              <w:left w:w="0" w:type="dxa"/>
              <w:bottom w:w="0" w:type="dxa"/>
              <w:right w:w="0" w:type="dxa"/>
            </w:tcMar>
            <w:vAlign w:val="center"/>
          </w:tcPr>
          <w:p w14:paraId="652B8CC2">
            <w:pPr>
              <w:spacing w:line="360" w:lineRule="auto"/>
              <w:jc w:val="center"/>
              <w:rPr>
                <w:rFonts w:hint="eastAsia" w:ascii="宋体" w:hAnsi="宋体" w:cs="宋体"/>
                <w:sz w:val="24"/>
              </w:rPr>
            </w:pPr>
            <w:r>
              <w:rPr>
                <w:rFonts w:hint="eastAsia" w:ascii="宋体" w:hAnsi="宋体" w:cs="宋体"/>
                <w:sz w:val="24"/>
              </w:rPr>
              <w:t>备选投标方案和报价</w:t>
            </w:r>
          </w:p>
        </w:tc>
        <w:tc>
          <w:tcPr>
            <w:tcW w:w="7252" w:type="dxa"/>
            <w:tcBorders>
              <w:top w:val="single" w:color="000000" w:sz="6" w:space="0"/>
              <w:left w:val="single" w:color="000000" w:sz="6" w:space="0"/>
            </w:tcBorders>
            <w:shd w:val="solid" w:color="FFFFFF" w:fill="auto"/>
            <w:tcMar>
              <w:top w:w="0" w:type="dxa"/>
              <w:left w:w="0" w:type="dxa"/>
              <w:bottom w:w="0" w:type="dxa"/>
              <w:right w:w="0" w:type="dxa"/>
            </w:tcMar>
            <w:vAlign w:val="center"/>
          </w:tcPr>
          <w:p w14:paraId="52C3DA26">
            <w:pPr>
              <w:spacing w:line="360" w:lineRule="auto"/>
              <w:jc w:val="left"/>
              <w:rPr>
                <w:rFonts w:hint="eastAsia" w:ascii="宋体" w:hAnsi="宋体" w:cs="宋体"/>
                <w:sz w:val="24"/>
              </w:rPr>
            </w:pPr>
            <w:r>
              <w:rPr>
                <w:rFonts w:hint="eastAsia" w:ascii="宋体" w:hAnsi="宋体" w:cs="宋体"/>
                <w:sz w:val="24"/>
              </w:rPr>
              <w:t>不接受备选投标方案和多个报价。</w:t>
            </w:r>
          </w:p>
        </w:tc>
      </w:tr>
      <w:tr w14:paraId="3B9FE0D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08" w:hRule="atLeast"/>
          <w:jc w:val="center"/>
        </w:trPr>
        <w:tc>
          <w:tcPr>
            <w:tcW w:w="423" w:type="dxa"/>
            <w:tcBorders>
              <w:top w:val="single" w:color="000000" w:sz="6" w:space="0"/>
            </w:tcBorders>
            <w:shd w:val="solid" w:color="FFFFFF" w:fill="auto"/>
            <w:tcMar>
              <w:top w:w="0" w:type="dxa"/>
              <w:left w:w="0" w:type="dxa"/>
              <w:bottom w:w="0" w:type="dxa"/>
              <w:right w:w="0" w:type="dxa"/>
            </w:tcMar>
            <w:vAlign w:val="center"/>
          </w:tcPr>
          <w:p w14:paraId="6B561372">
            <w:pPr>
              <w:spacing w:line="360" w:lineRule="auto"/>
              <w:jc w:val="center"/>
              <w:rPr>
                <w:rFonts w:hint="eastAsia" w:ascii="宋体" w:hAnsi="宋体" w:cs="宋体"/>
                <w:sz w:val="24"/>
              </w:rPr>
            </w:pPr>
            <w:r>
              <w:rPr>
                <w:rFonts w:hint="eastAsia" w:ascii="宋体" w:hAnsi="宋体" w:cs="宋体"/>
                <w:sz w:val="24"/>
              </w:rPr>
              <w:t>21</w:t>
            </w:r>
          </w:p>
        </w:tc>
        <w:tc>
          <w:tcPr>
            <w:tcW w:w="2410" w:type="dxa"/>
            <w:gridSpan w:val="2"/>
            <w:tcBorders>
              <w:top w:val="single" w:color="000000" w:sz="6" w:space="0"/>
              <w:left w:val="single" w:color="000000" w:sz="6" w:space="0"/>
            </w:tcBorders>
            <w:shd w:val="solid" w:color="FFFFFF" w:fill="auto"/>
            <w:tcMar>
              <w:top w:w="0" w:type="dxa"/>
              <w:left w:w="0" w:type="dxa"/>
              <w:bottom w:w="0" w:type="dxa"/>
              <w:right w:w="0" w:type="dxa"/>
            </w:tcMar>
            <w:vAlign w:val="center"/>
          </w:tcPr>
          <w:p w14:paraId="6034FD70">
            <w:pPr>
              <w:spacing w:line="360" w:lineRule="auto"/>
              <w:jc w:val="center"/>
              <w:rPr>
                <w:rFonts w:hint="eastAsia" w:ascii="宋体" w:hAnsi="宋体" w:cs="宋体"/>
                <w:sz w:val="24"/>
              </w:rPr>
            </w:pPr>
            <w:r>
              <w:rPr>
                <w:rFonts w:hint="eastAsia" w:ascii="宋体" w:hAnsi="宋体" w:cs="宋体"/>
                <w:sz w:val="24"/>
              </w:rPr>
              <w:t>投标文件的签署</w:t>
            </w:r>
          </w:p>
        </w:tc>
        <w:tc>
          <w:tcPr>
            <w:tcW w:w="7252" w:type="dxa"/>
            <w:tcBorders>
              <w:top w:val="single" w:color="000000" w:sz="6" w:space="0"/>
              <w:left w:val="single" w:color="000000" w:sz="6" w:space="0"/>
            </w:tcBorders>
            <w:shd w:val="solid" w:color="FFFFFF" w:fill="auto"/>
            <w:tcMar>
              <w:top w:w="0" w:type="dxa"/>
              <w:left w:w="0" w:type="dxa"/>
              <w:bottom w:w="0" w:type="dxa"/>
              <w:right w:w="0" w:type="dxa"/>
            </w:tcMar>
            <w:vAlign w:val="center"/>
          </w:tcPr>
          <w:p w14:paraId="6BEBA9CC">
            <w:pPr>
              <w:spacing w:line="360" w:lineRule="auto"/>
              <w:rPr>
                <w:rFonts w:hint="eastAsia" w:ascii="宋体" w:hAnsi="宋体" w:cs="宋体"/>
                <w:sz w:val="24"/>
              </w:rPr>
            </w:pPr>
            <w:r>
              <w:rPr>
                <w:rFonts w:hint="eastAsia" w:ascii="宋体" w:hAnsi="宋体" w:cs="宋体"/>
                <w:sz w:val="24"/>
              </w:rPr>
              <w:t>电子投标文件按照招标文件格式，采用单位数字证书电子签章、个人数字证书电子签章或电子签名：投标文件需要企业电子签章、法定代表人</w:t>
            </w:r>
            <w:r>
              <w:rPr>
                <w:rFonts w:hint="eastAsia" w:ascii="宋体" w:hAnsi="宋体" w:cs="宋体"/>
                <w:sz w:val="24"/>
                <w:shd w:val="clear" w:color="auto" w:fill="FFFFFF"/>
              </w:rPr>
              <w:t>或其委托代理人</w:t>
            </w:r>
            <w:r>
              <w:rPr>
                <w:rFonts w:hint="eastAsia" w:ascii="宋体" w:hAnsi="宋体" w:cs="宋体"/>
                <w:sz w:val="24"/>
              </w:rPr>
              <w:t>电子签章或电子签名。</w:t>
            </w:r>
          </w:p>
          <w:p w14:paraId="4ADDD778">
            <w:pPr>
              <w:spacing w:line="360" w:lineRule="auto"/>
              <w:jc w:val="left"/>
              <w:rPr>
                <w:rFonts w:hint="eastAsia" w:ascii="宋体" w:hAnsi="宋体" w:cs="宋体"/>
                <w:sz w:val="24"/>
              </w:rPr>
            </w:pPr>
            <w:r>
              <w:rPr>
                <w:rFonts w:hint="eastAsia" w:ascii="宋体" w:hAnsi="宋体" w:cs="宋体"/>
                <w:sz w:val="24"/>
              </w:rPr>
              <w:t>注：在需要单位电子签章、法定代表人</w:t>
            </w:r>
            <w:r>
              <w:rPr>
                <w:rFonts w:hint="eastAsia" w:ascii="宋体" w:hAnsi="宋体" w:cs="宋体"/>
                <w:sz w:val="24"/>
                <w:shd w:val="clear" w:color="auto" w:fill="FFFFFF"/>
              </w:rPr>
              <w:t>或其委托代理人</w:t>
            </w:r>
            <w:r>
              <w:rPr>
                <w:rFonts w:hint="eastAsia" w:ascii="宋体" w:hAnsi="宋体" w:cs="宋体"/>
                <w:sz w:val="24"/>
              </w:rPr>
              <w:t>电子签章或电子签名的地方进行电子签章或电子签名。</w:t>
            </w:r>
          </w:p>
        </w:tc>
      </w:tr>
      <w:tr w14:paraId="51E6E33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423" w:type="dxa"/>
            <w:tcBorders>
              <w:top w:val="single" w:color="000000" w:sz="6" w:space="0"/>
            </w:tcBorders>
            <w:shd w:val="solid" w:color="FFFFFF" w:fill="auto"/>
            <w:tcMar>
              <w:top w:w="0" w:type="dxa"/>
              <w:left w:w="0" w:type="dxa"/>
              <w:bottom w:w="0" w:type="dxa"/>
              <w:right w:w="0" w:type="dxa"/>
            </w:tcMar>
            <w:vAlign w:val="center"/>
          </w:tcPr>
          <w:p w14:paraId="7F81BEE4">
            <w:pPr>
              <w:spacing w:line="360" w:lineRule="auto"/>
              <w:jc w:val="center"/>
              <w:rPr>
                <w:rFonts w:hint="eastAsia" w:ascii="宋体" w:hAnsi="宋体" w:cs="宋体"/>
                <w:sz w:val="24"/>
              </w:rPr>
            </w:pPr>
            <w:r>
              <w:rPr>
                <w:rFonts w:hint="eastAsia" w:ascii="宋体" w:hAnsi="宋体" w:cs="宋体"/>
                <w:sz w:val="24"/>
              </w:rPr>
              <w:t>22</w:t>
            </w:r>
          </w:p>
        </w:tc>
        <w:tc>
          <w:tcPr>
            <w:tcW w:w="2410" w:type="dxa"/>
            <w:gridSpan w:val="2"/>
            <w:tcBorders>
              <w:top w:val="single" w:color="000000" w:sz="6" w:space="0"/>
              <w:left w:val="single" w:color="000000" w:sz="6" w:space="0"/>
            </w:tcBorders>
            <w:shd w:val="solid" w:color="FFFFFF" w:fill="auto"/>
            <w:tcMar>
              <w:top w:w="0" w:type="dxa"/>
              <w:left w:w="0" w:type="dxa"/>
              <w:bottom w:w="0" w:type="dxa"/>
              <w:right w:w="0" w:type="dxa"/>
            </w:tcMar>
            <w:vAlign w:val="center"/>
          </w:tcPr>
          <w:p w14:paraId="2F853DC5">
            <w:pPr>
              <w:spacing w:line="360" w:lineRule="auto"/>
              <w:jc w:val="center"/>
              <w:rPr>
                <w:rFonts w:hint="eastAsia" w:ascii="宋体" w:hAnsi="宋体" w:cs="宋体"/>
                <w:sz w:val="24"/>
              </w:rPr>
            </w:pPr>
            <w:r>
              <w:rPr>
                <w:rFonts w:hint="eastAsia" w:ascii="宋体" w:hAnsi="宋体" w:cs="宋体"/>
                <w:sz w:val="24"/>
              </w:rPr>
              <w:t>提交投标文件截止时间、开标时间和地点</w:t>
            </w:r>
          </w:p>
        </w:tc>
        <w:tc>
          <w:tcPr>
            <w:tcW w:w="7252" w:type="dxa"/>
            <w:tcBorders>
              <w:top w:val="single" w:color="000000" w:sz="6" w:space="0"/>
              <w:left w:val="single" w:color="000000" w:sz="6" w:space="0"/>
            </w:tcBorders>
            <w:shd w:val="solid" w:color="FFFFFF" w:fill="auto"/>
            <w:tcMar>
              <w:top w:w="0" w:type="dxa"/>
              <w:left w:w="0" w:type="dxa"/>
              <w:bottom w:w="0" w:type="dxa"/>
              <w:right w:w="0" w:type="dxa"/>
            </w:tcMar>
            <w:vAlign w:val="center"/>
          </w:tcPr>
          <w:p w14:paraId="259F7BAB">
            <w:pPr>
              <w:spacing w:line="360" w:lineRule="auto"/>
              <w:rPr>
                <w:rFonts w:hint="eastAsia" w:ascii="宋体" w:hAnsi="宋体" w:cs="宋体"/>
                <w:sz w:val="24"/>
              </w:rPr>
            </w:pPr>
            <w:r>
              <w:rPr>
                <w:rFonts w:hint="eastAsia" w:ascii="宋体" w:hAnsi="宋体" w:cs="宋体"/>
                <w:sz w:val="24"/>
              </w:rPr>
              <w:t>1.提交投标文件截止时间、开标时间：</w:t>
            </w:r>
            <w:r>
              <w:rPr>
                <w:rFonts w:hint="eastAsia" w:ascii="宋体" w:hAnsi="宋体" w:cs="宋体"/>
                <w:sz w:val="24"/>
                <w:u w:val="single"/>
              </w:rPr>
              <w:t>2026年  月  日  时  分（北京时间）。</w:t>
            </w:r>
          </w:p>
          <w:p w14:paraId="72582570">
            <w:pPr>
              <w:spacing w:line="360" w:lineRule="auto"/>
              <w:jc w:val="left"/>
              <w:rPr>
                <w:rFonts w:hint="eastAsia" w:ascii="宋体" w:hAnsi="宋体" w:cs="宋体"/>
                <w:sz w:val="24"/>
              </w:rPr>
            </w:pPr>
            <w:r>
              <w:rPr>
                <w:rFonts w:hint="eastAsia" w:ascii="宋体" w:hAnsi="宋体" w:cs="宋体"/>
                <w:sz w:val="24"/>
              </w:rPr>
              <w:t>2.地点：</w:t>
            </w:r>
            <w:r>
              <w:rPr>
                <w:rFonts w:hint="eastAsia" w:ascii="宋体" w:hAnsi="宋体" w:cs="宋体"/>
                <w:sz w:val="24"/>
                <w:u w:val="single"/>
              </w:rPr>
              <w:t>政采云平台（http：//www.zcygov.cn）。</w:t>
            </w:r>
          </w:p>
          <w:p w14:paraId="3AA11D1E">
            <w:pPr>
              <w:spacing w:line="360" w:lineRule="auto"/>
              <w:jc w:val="left"/>
              <w:rPr>
                <w:rFonts w:hint="eastAsia" w:ascii="宋体" w:hAnsi="宋体" w:cs="宋体"/>
                <w:sz w:val="24"/>
              </w:rPr>
            </w:pPr>
            <w:r>
              <w:rPr>
                <w:rFonts w:hint="eastAsia" w:ascii="宋体" w:hAnsi="宋体" w:cs="宋体"/>
                <w:sz w:val="24"/>
              </w:rPr>
              <w:t>开标参与方式：</w:t>
            </w:r>
            <w:r>
              <w:rPr>
                <w:rFonts w:hint="eastAsia" w:ascii="宋体" w:hAnsi="宋体" w:cs="宋体"/>
                <w:b/>
                <w:bCs/>
                <w:sz w:val="24"/>
              </w:rPr>
              <w:t>本项目采用远程开标方式进行开标，投标人无需到达开标现场</w:t>
            </w:r>
            <w:r>
              <w:rPr>
                <w:rFonts w:hint="eastAsia" w:ascii="宋体" w:hAnsi="宋体" w:cs="宋体"/>
                <w:sz w:val="24"/>
              </w:rPr>
              <w:t>。</w:t>
            </w:r>
          </w:p>
        </w:tc>
      </w:tr>
      <w:tr w14:paraId="3556786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423" w:type="dxa"/>
            <w:vMerge w:val="restart"/>
            <w:tcBorders>
              <w:top w:val="single" w:color="000000" w:sz="6" w:space="0"/>
            </w:tcBorders>
            <w:shd w:val="solid" w:color="FFFFFF" w:fill="auto"/>
            <w:tcMar>
              <w:top w:w="0" w:type="dxa"/>
              <w:left w:w="0" w:type="dxa"/>
              <w:bottom w:w="0" w:type="dxa"/>
              <w:right w:w="0" w:type="dxa"/>
            </w:tcMar>
            <w:vAlign w:val="center"/>
          </w:tcPr>
          <w:p w14:paraId="21A85EBF">
            <w:pPr>
              <w:spacing w:line="360" w:lineRule="auto"/>
              <w:jc w:val="center"/>
              <w:rPr>
                <w:rFonts w:hint="eastAsia" w:ascii="宋体" w:hAnsi="宋体" w:cs="宋体"/>
                <w:sz w:val="24"/>
              </w:rPr>
            </w:pPr>
            <w:r>
              <w:rPr>
                <w:rFonts w:hint="eastAsia" w:ascii="宋体" w:hAnsi="宋体" w:cs="宋体"/>
                <w:sz w:val="24"/>
              </w:rPr>
              <w:t>23</w:t>
            </w:r>
          </w:p>
        </w:tc>
        <w:tc>
          <w:tcPr>
            <w:tcW w:w="2410" w:type="dxa"/>
            <w:gridSpan w:val="2"/>
            <w:vMerge w:val="restart"/>
            <w:tcBorders>
              <w:top w:val="single" w:color="000000" w:sz="6" w:space="0"/>
              <w:left w:val="single" w:color="000000" w:sz="6" w:space="0"/>
            </w:tcBorders>
            <w:shd w:val="solid" w:color="FFFFFF" w:fill="auto"/>
            <w:tcMar>
              <w:top w:w="0" w:type="dxa"/>
              <w:left w:w="0" w:type="dxa"/>
              <w:bottom w:w="0" w:type="dxa"/>
              <w:right w:w="0" w:type="dxa"/>
            </w:tcMar>
            <w:vAlign w:val="center"/>
          </w:tcPr>
          <w:p w14:paraId="53479915">
            <w:pPr>
              <w:spacing w:line="360" w:lineRule="auto"/>
              <w:jc w:val="center"/>
              <w:rPr>
                <w:rFonts w:hint="eastAsia" w:ascii="宋体" w:hAnsi="宋体" w:cs="宋体"/>
                <w:sz w:val="24"/>
              </w:rPr>
            </w:pPr>
            <w:r>
              <w:rPr>
                <w:rFonts w:hint="eastAsia" w:ascii="宋体" w:hAnsi="宋体" w:cs="宋体"/>
                <w:sz w:val="24"/>
              </w:rPr>
              <w:t>现场开标现场解密方式、网上递交电子投标文件</w:t>
            </w:r>
          </w:p>
        </w:tc>
        <w:tc>
          <w:tcPr>
            <w:tcW w:w="7252" w:type="dxa"/>
            <w:tcBorders>
              <w:top w:val="single" w:color="000000" w:sz="6" w:space="0"/>
              <w:left w:val="single" w:color="000000" w:sz="6" w:space="0"/>
            </w:tcBorders>
            <w:shd w:val="solid" w:color="FFFFFF" w:fill="auto"/>
            <w:tcMar>
              <w:top w:w="0" w:type="dxa"/>
              <w:left w:w="0" w:type="dxa"/>
              <w:bottom w:w="0" w:type="dxa"/>
              <w:right w:w="0" w:type="dxa"/>
            </w:tcMar>
            <w:vAlign w:val="center"/>
          </w:tcPr>
          <w:p w14:paraId="7CC89058">
            <w:pPr>
              <w:spacing w:line="360" w:lineRule="auto"/>
              <w:jc w:val="left"/>
              <w:rPr>
                <w:rFonts w:hint="eastAsia" w:ascii="宋体" w:hAnsi="宋体" w:cs="宋体"/>
                <w:sz w:val="24"/>
              </w:rPr>
            </w:pPr>
            <w:r>
              <w:rPr>
                <w:rFonts w:hint="eastAsia" w:ascii="宋体" w:hAnsi="宋体" w:cs="宋体"/>
                <w:sz w:val="24"/>
              </w:rPr>
              <w:t>（1）投标人</w:t>
            </w:r>
            <w:r>
              <w:rPr>
                <w:rFonts w:hint="eastAsia" w:ascii="宋体" w:hAnsi="宋体" w:cs="宋体"/>
                <w:b/>
                <w:bCs/>
                <w:sz w:val="24"/>
              </w:rPr>
              <w:t>无须</w:t>
            </w:r>
            <w:r>
              <w:rPr>
                <w:rFonts w:hint="eastAsia" w:ascii="宋体" w:hAnsi="宋体" w:cs="宋体"/>
                <w:sz w:val="24"/>
              </w:rPr>
              <w:t>到现场开标现场解密；到规定解密截止时间后已解密的投标人不足三家的，按规定重新招标。</w:t>
            </w:r>
          </w:p>
        </w:tc>
      </w:tr>
      <w:tr w14:paraId="06F9787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423" w:type="dxa"/>
            <w:vMerge w:val="continue"/>
            <w:shd w:val="solid" w:color="FFFFFF" w:fill="auto"/>
            <w:tcMar>
              <w:top w:w="0" w:type="dxa"/>
              <w:left w:w="0" w:type="dxa"/>
              <w:bottom w:w="0" w:type="dxa"/>
              <w:right w:w="0" w:type="dxa"/>
            </w:tcMar>
            <w:vAlign w:val="center"/>
          </w:tcPr>
          <w:p w14:paraId="5154F72E">
            <w:pPr>
              <w:spacing w:line="360" w:lineRule="auto"/>
              <w:jc w:val="center"/>
              <w:rPr>
                <w:rFonts w:hint="eastAsia" w:ascii="宋体" w:hAnsi="宋体" w:cs="宋体"/>
                <w:sz w:val="24"/>
              </w:rPr>
            </w:pPr>
          </w:p>
        </w:tc>
        <w:tc>
          <w:tcPr>
            <w:tcW w:w="2410" w:type="dxa"/>
            <w:gridSpan w:val="2"/>
            <w:vMerge w:val="continue"/>
            <w:tcBorders>
              <w:left w:val="single" w:color="000000" w:sz="6" w:space="0"/>
            </w:tcBorders>
            <w:shd w:val="solid" w:color="FFFFFF" w:fill="auto"/>
            <w:tcMar>
              <w:top w:w="0" w:type="dxa"/>
              <w:left w:w="0" w:type="dxa"/>
              <w:bottom w:w="0" w:type="dxa"/>
              <w:right w:w="0" w:type="dxa"/>
            </w:tcMar>
            <w:vAlign w:val="center"/>
          </w:tcPr>
          <w:p w14:paraId="439B86AA">
            <w:pPr>
              <w:spacing w:line="360" w:lineRule="auto"/>
              <w:jc w:val="center"/>
              <w:rPr>
                <w:rFonts w:hint="eastAsia" w:ascii="宋体" w:hAnsi="宋体" w:cs="宋体"/>
                <w:sz w:val="24"/>
              </w:rPr>
            </w:pPr>
          </w:p>
        </w:tc>
        <w:tc>
          <w:tcPr>
            <w:tcW w:w="7252" w:type="dxa"/>
            <w:tcBorders>
              <w:top w:val="single" w:color="000000" w:sz="6" w:space="0"/>
              <w:left w:val="single" w:color="000000" w:sz="6" w:space="0"/>
            </w:tcBorders>
            <w:shd w:val="solid" w:color="FFFFFF" w:fill="auto"/>
            <w:tcMar>
              <w:top w:w="0" w:type="dxa"/>
              <w:left w:w="0" w:type="dxa"/>
              <w:bottom w:w="0" w:type="dxa"/>
              <w:right w:w="0" w:type="dxa"/>
            </w:tcMar>
            <w:vAlign w:val="center"/>
          </w:tcPr>
          <w:p w14:paraId="4089F143">
            <w:pPr>
              <w:spacing w:line="360" w:lineRule="auto"/>
              <w:jc w:val="left"/>
              <w:rPr>
                <w:rFonts w:hint="eastAsia" w:ascii="宋体" w:hAnsi="宋体" w:cs="宋体"/>
                <w:sz w:val="24"/>
              </w:rPr>
            </w:pPr>
            <w:r>
              <w:rPr>
                <w:rFonts w:hint="eastAsia" w:ascii="宋体" w:hAnsi="宋体" w:cs="宋体"/>
                <w:sz w:val="24"/>
              </w:rPr>
              <w:t>（2）投标文件递交网址为：政采云平台（http：//www.zcygov.cn），投标人须在投标截止时间前完成所有电子投标文件的上传，网上确认电子签章或电子签名。投标截止时间前未完成投标文件传输的，视为撤回投标文件。在递交投标文件截止前，投标人可以修改或撤回已在网上递交的投标文件，无须书面形式通知采购人。</w:t>
            </w:r>
          </w:p>
        </w:tc>
      </w:tr>
      <w:tr w14:paraId="6E9AD4B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423" w:type="dxa"/>
            <w:tcBorders>
              <w:top w:val="single" w:color="000000" w:sz="6" w:space="0"/>
            </w:tcBorders>
            <w:shd w:val="solid" w:color="FFFFFF" w:fill="auto"/>
            <w:tcMar>
              <w:top w:w="0" w:type="dxa"/>
              <w:left w:w="0" w:type="dxa"/>
              <w:bottom w:w="0" w:type="dxa"/>
              <w:right w:w="0" w:type="dxa"/>
            </w:tcMar>
            <w:vAlign w:val="center"/>
          </w:tcPr>
          <w:p w14:paraId="2B8E96D7">
            <w:pPr>
              <w:spacing w:line="360" w:lineRule="auto"/>
              <w:jc w:val="center"/>
              <w:rPr>
                <w:rFonts w:hint="eastAsia" w:ascii="宋体" w:hAnsi="宋体" w:cs="宋体"/>
                <w:sz w:val="24"/>
              </w:rPr>
            </w:pPr>
            <w:r>
              <w:rPr>
                <w:rFonts w:hint="eastAsia" w:ascii="宋体" w:hAnsi="宋体" w:cs="宋体"/>
                <w:sz w:val="24"/>
              </w:rPr>
              <w:t>24</w:t>
            </w:r>
          </w:p>
        </w:tc>
        <w:tc>
          <w:tcPr>
            <w:tcW w:w="2410" w:type="dxa"/>
            <w:gridSpan w:val="2"/>
            <w:tcBorders>
              <w:top w:val="single" w:color="000000" w:sz="6" w:space="0"/>
              <w:left w:val="single" w:color="000000" w:sz="6" w:space="0"/>
            </w:tcBorders>
            <w:shd w:val="solid" w:color="FFFFFF" w:fill="auto"/>
            <w:tcMar>
              <w:top w:w="0" w:type="dxa"/>
              <w:left w:w="0" w:type="dxa"/>
              <w:bottom w:w="0" w:type="dxa"/>
              <w:right w:w="0" w:type="dxa"/>
            </w:tcMar>
            <w:vAlign w:val="center"/>
          </w:tcPr>
          <w:p w14:paraId="183D7F63">
            <w:pPr>
              <w:pStyle w:val="12"/>
              <w:spacing w:line="360" w:lineRule="auto"/>
              <w:jc w:val="center"/>
              <w:rPr>
                <w:rFonts w:hint="eastAsia" w:hAnsi="宋体" w:cs="宋体"/>
                <w:sz w:val="24"/>
                <w:szCs w:val="24"/>
              </w:rPr>
            </w:pPr>
            <w:r>
              <w:rPr>
                <w:rFonts w:hint="eastAsia" w:hAnsi="宋体" w:cs="宋体"/>
                <w:sz w:val="24"/>
                <w:szCs w:val="24"/>
              </w:rPr>
              <w:t>网上智能开标远程解密</w:t>
            </w:r>
          </w:p>
        </w:tc>
        <w:tc>
          <w:tcPr>
            <w:tcW w:w="7252" w:type="dxa"/>
            <w:tcBorders>
              <w:top w:val="single" w:color="000000" w:sz="6" w:space="0"/>
              <w:left w:val="single" w:color="000000" w:sz="6" w:space="0"/>
            </w:tcBorders>
            <w:shd w:val="solid" w:color="FFFFFF" w:fill="auto"/>
            <w:tcMar>
              <w:top w:w="0" w:type="dxa"/>
              <w:left w:w="0" w:type="dxa"/>
              <w:bottom w:w="0" w:type="dxa"/>
              <w:right w:w="0" w:type="dxa"/>
            </w:tcMar>
            <w:vAlign w:val="center"/>
          </w:tcPr>
          <w:p w14:paraId="0A4CC52C">
            <w:pPr>
              <w:spacing w:line="360" w:lineRule="auto"/>
              <w:jc w:val="left"/>
              <w:rPr>
                <w:rFonts w:hint="eastAsia" w:ascii="宋体" w:hAnsi="宋体" w:cs="宋体"/>
                <w:bCs/>
                <w:color w:val="000000"/>
                <w:sz w:val="24"/>
              </w:rPr>
            </w:pPr>
            <w:r>
              <w:rPr>
                <w:rFonts w:hint="eastAsia" w:ascii="宋体" w:hAnsi="宋体" w:cs="宋体"/>
                <w:sz w:val="24"/>
              </w:rPr>
              <w:t xml:space="preserve">   </w:t>
            </w:r>
            <w:r>
              <w:rPr>
                <w:rFonts w:hint="eastAsia" w:ascii="宋体" w:hAnsi="宋体" w:cs="宋体"/>
                <w:bCs/>
                <w:color w:val="000000"/>
                <w:sz w:val="24"/>
              </w:rPr>
              <w:t>本项目采用网上智能开标系统网上远程解密。</w:t>
            </w:r>
          </w:p>
          <w:p w14:paraId="3E34D20C">
            <w:pPr>
              <w:spacing w:line="360" w:lineRule="auto"/>
              <w:jc w:val="left"/>
              <w:rPr>
                <w:rFonts w:hint="eastAsia" w:ascii="宋体" w:hAnsi="宋体" w:cs="宋体"/>
                <w:bCs/>
                <w:color w:val="000000"/>
                <w:sz w:val="24"/>
              </w:rPr>
            </w:pPr>
            <w:r>
              <w:rPr>
                <w:rFonts w:hint="eastAsia" w:ascii="宋体" w:hAnsi="宋体" w:cs="宋体"/>
                <w:bCs/>
                <w:color w:val="000000"/>
                <w:sz w:val="24"/>
              </w:rPr>
              <w:t>（1）采购代理机构依托电子交易平台发起开始解密指令，投标人须使用加密时所用的CA锁按平台提示和投标文件的规定登录到“政采云”平台电子开标大厅签到，并在发起解密指令之时起60分钟内完成对电子投标文件在线解密。</w:t>
            </w:r>
          </w:p>
          <w:p w14:paraId="0B6ADE85">
            <w:pPr>
              <w:spacing w:line="360" w:lineRule="auto"/>
              <w:jc w:val="left"/>
              <w:rPr>
                <w:rFonts w:hint="eastAsia" w:ascii="宋体" w:hAnsi="宋体" w:cs="宋体"/>
                <w:bCs/>
                <w:color w:val="000000"/>
                <w:sz w:val="24"/>
              </w:rPr>
            </w:pPr>
            <w:r>
              <w:rPr>
                <w:rFonts w:hint="eastAsia" w:ascii="宋体" w:hAnsi="宋体" w:cs="宋体"/>
                <w:bCs/>
                <w:color w:val="000000"/>
                <w:sz w:val="24"/>
              </w:rPr>
              <w:t>（2）发起解密指令之时起5分钟内投标人还未进行解密的，代理机构可通知投标人，投标人未预留联系方式或预留联系方式无效导致代理机构无法联系到投标人进行解密的，视为撤回投标文件。</w:t>
            </w:r>
          </w:p>
          <w:p w14:paraId="1DE744B9">
            <w:pPr>
              <w:spacing w:line="360" w:lineRule="auto"/>
              <w:jc w:val="left"/>
              <w:rPr>
                <w:rFonts w:hint="eastAsia" w:ascii="宋体" w:hAnsi="宋体" w:cs="宋体"/>
                <w:bCs/>
                <w:color w:val="000000"/>
                <w:sz w:val="24"/>
              </w:rPr>
            </w:pPr>
            <w:r>
              <w:rPr>
                <w:rFonts w:hint="eastAsia" w:ascii="宋体" w:hAnsi="宋体" w:cs="宋体"/>
                <w:bCs/>
                <w:color w:val="000000"/>
                <w:sz w:val="24"/>
              </w:rPr>
              <w:t>（3）投标人若对本项目在线开标过程有异议的应在开标结束指令下达前提出，否则视为投标人对本项目开标过程无任何异议。</w:t>
            </w:r>
          </w:p>
          <w:p w14:paraId="4C442DB8">
            <w:pPr>
              <w:spacing w:line="360" w:lineRule="auto"/>
              <w:jc w:val="left"/>
              <w:rPr>
                <w:rFonts w:hint="eastAsia" w:ascii="宋体" w:hAnsi="宋体" w:cs="宋体"/>
                <w:sz w:val="24"/>
              </w:rPr>
            </w:pPr>
            <w:r>
              <w:rPr>
                <w:rFonts w:hint="eastAsia" w:ascii="宋体" w:hAnsi="宋体" w:cs="宋体"/>
                <w:bCs/>
                <w:color w:val="000000"/>
                <w:sz w:val="24"/>
              </w:rPr>
              <w:t>（4）因开标系统、开标现场网络、设备及其他特殊原因，导致不能正常解密投标文件的，经核实和上报相关部门同意后，可再次下达网上解密指令来延长解密时间。</w:t>
            </w:r>
          </w:p>
        </w:tc>
      </w:tr>
      <w:tr w14:paraId="67F2108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423" w:type="dxa"/>
            <w:tcBorders>
              <w:top w:val="single" w:color="000000" w:sz="6" w:space="0"/>
            </w:tcBorders>
            <w:shd w:val="solid" w:color="FFFFFF" w:fill="auto"/>
            <w:tcMar>
              <w:top w:w="0" w:type="dxa"/>
              <w:left w:w="0" w:type="dxa"/>
              <w:bottom w:w="0" w:type="dxa"/>
              <w:right w:w="0" w:type="dxa"/>
            </w:tcMar>
            <w:vAlign w:val="center"/>
          </w:tcPr>
          <w:p w14:paraId="44E06240">
            <w:pPr>
              <w:spacing w:line="360" w:lineRule="auto"/>
              <w:jc w:val="center"/>
              <w:rPr>
                <w:rFonts w:hint="eastAsia" w:ascii="宋体" w:hAnsi="宋体" w:cs="宋体"/>
                <w:sz w:val="24"/>
              </w:rPr>
            </w:pPr>
            <w:r>
              <w:rPr>
                <w:rFonts w:hint="eastAsia" w:ascii="宋体" w:hAnsi="宋体" w:cs="宋体"/>
                <w:sz w:val="24"/>
              </w:rPr>
              <w:t>25</w:t>
            </w:r>
          </w:p>
        </w:tc>
        <w:tc>
          <w:tcPr>
            <w:tcW w:w="2410" w:type="dxa"/>
            <w:gridSpan w:val="2"/>
            <w:tcBorders>
              <w:top w:val="single" w:color="000000" w:sz="6" w:space="0"/>
              <w:left w:val="single" w:color="000000" w:sz="6" w:space="0"/>
            </w:tcBorders>
            <w:shd w:val="solid" w:color="FFFFFF" w:fill="auto"/>
            <w:tcMar>
              <w:top w:w="0" w:type="dxa"/>
              <w:left w:w="0" w:type="dxa"/>
              <w:bottom w:w="0" w:type="dxa"/>
              <w:right w:w="0" w:type="dxa"/>
            </w:tcMar>
            <w:vAlign w:val="center"/>
          </w:tcPr>
          <w:p w14:paraId="6F261A5F">
            <w:pPr>
              <w:pStyle w:val="12"/>
              <w:spacing w:line="360" w:lineRule="auto"/>
              <w:jc w:val="center"/>
              <w:rPr>
                <w:rFonts w:hint="eastAsia" w:hAnsi="宋体" w:cs="宋体"/>
                <w:sz w:val="24"/>
                <w:szCs w:val="24"/>
              </w:rPr>
            </w:pPr>
            <w:r>
              <w:rPr>
                <w:rFonts w:hint="eastAsia" w:hAnsi="宋体" w:cs="宋体"/>
                <w:sz w:val="24"/>
                <w:szCs w:val="24"/>
              </w:rPr>
              <w:t>评标委员会的</w:t>
            </w:r>
          </w:p>
          <w:p w14:paraId="23CEA8A6">
            <w:pPr>
              <w:pStyle w:val="12"/>
              <w:spacing w:line="360" w:lineRule="auto"/>
              <w:jc w:val="center"/>
              <w:rPr>
                <w:rFonts w:hint="eastAsia" w:hAnsi="宋体" w:cs="宋体"/>
                <w:sz w:val="24"/>
                <w:szCs w:val="24"/>
              </w:rPr>
            </w:pPr>
            <w:r>
              <w:rPr>
                <w:rFonts w:hint="eastAsia" w:hAnsi="宋体" w:cs="宋体"/>
                <w:sz w:val="24"/>
                <w:szCs w:val="24"/>
              </w:rPr>
              <w:t>组建</w:t>
            </w:r>
          </w:p>
        </w:tc>
        <w:tc>
          <w:tcPr>
            <w:tcW w:w="7252" w:type="dxa"/>
            <w:tcBorders>
              <w:top w:val="single" w:color="000000" w:sz="6" w:space="0"/>
              <w:left w:val="single" w:color="000000" w:sz="6" w:space="0"/>
            </w:tcBorders>
            <w:shd w:val="solid" w:color="FFFFFF" w:fill="auto"/>
            <w:tcMar>
              <w:top w:w="0" w:type="dxa"/>
              <w:left w:w="0" w:type="dxa"/>
              <w:bottom w:w="0" w:type="dxa"/>
              <w:right w:w="0" w:type="dxa"/>
            </w:tcMar>
            <w:vAlign w:val="center"/>
          </w:tcPr>
          <w:p w14:paraId="4A289EC7">
            <w:pPr>
              <w:spacing w:line="360" w:lineRule="auto"/>
              <w:jc w:val="left"/>
              <w:rPr>
                <w:rFonts w:hint="eastAsia" w:ascii="宋体" w:hAnsi="宋体" w:cs="宋体"/>
                <w:sz w:val="24"/>
              </w:rPr>
            </w:pPr>
            <w:r>
              <w:rPr>
                <w:rFonts w:hint="eastAsia" w:ascii="宋体" w:hAnsi="宋体" w:cs="宋体"/>
                <w:sz w:val="24"/>
              </w:rPr>
              <w:t>评标委员会构成：由采购人代表和评审专家组成，成员人数为5人及以上单数，其中评审专家不得少于成员总数的三分之二。</w:t>
            </w:r>
          </w:p>
          <w:p w14:paraId="13601428">
            <w:pPr>
              <w:spacing w:line="360" w:lineRule="auto"/>
              <w:jc w:val="left"/>
              <w:rPr>
                <w:rFonts w:hint="eastAsia" w:ascii="宋体" w:hAnsi="宋体" w:cs="宋体"/>
                <w:sz w:val="24"/>
              </w:rPr>
            </w:pPr>
            <w:r>
              <w:rPr>
                <w:rFonts w:hint="eastAsia" w:ascii="宋体" w:hAnsi="宋体" w:cs="宋体"/>
                <w:sz w:val="24"/>
              </w:rPr>
              <w:t>评标专家确定方式：在政府采购评审专家库中随机抽取。</w:t>
            </w:r>
          </w:p>
        </w:tc>
      </w:tr>
      <w:tr w14:paraId="1DCAB1B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953" w:hRule="atLeast"/>
          <w:jc w:val="center"/>
        </w:trPr>
        <w:tc>
          <w:tcPr>
            <w:tcW w:w="423" w:type="dxa"/>
            <w:tcBorders>
              <w:top w:val="single" w:color="000000" w:sz="6" w:space="0"/>
            </w:tcBorders>
            <w:shd w:val="solid" w:color="FFFFFF" w:fill="auto"/>
            <w:tcMar>
              <w:top w:w="0" w:type="dxa"/>
              <w:left w:w="0" w:type="dxa"/>
              <w:bottom w:w="0" w:type="dxa"/>
              <w:right w:w="0" w:type="dxa"/>
            </w:tcMar>
            <w:vAlign w:val="center"/>
          </w:tcPr>
          <w:p w14:paraId="4C710E9E">
            <w:pPr>
              <w:spacing w:line="360" w:lineRule="auto"/>
              <w:jc w:val="center"/>
              <w:rPr>
                <w:rFonts w:hint="eastAsia" w:ascii="宋体" w:hAnsi="宋体" w:cs="宋体"/>
                <w:sz w:val="24"/>
              </w:rPr>
            </w:pPr>
            <w:r>
              <w:rPr>
                <w:rFonts w:hint="eastAsia" w:ascii="宋体" w:hAnsi="宋体" w:cs="宋体"/>
                <w:sz w:val="24"/>
              </w:rPr>
              <w:t>26</w:t>
            </w:r>
          </w:p>
        </w:tc>
        <w:tc>
          <w:tcPr>
            <w:tcW w:w="2410" w:type="dxa"/>
            <w:gridSpan w:val="2"/>
            <w:tcBorders>
              <w:top w:val="single" w:color="000000" w:sz="6" w:space="0"/>
              <w:left w:val="single" w:color="000000" w:sz="6" w:space="0"/>
            </w:tcBorders>
            <w:shd w:val="solid" w:color="FFFFFF" w:fill="auto"/>
            <w:tcMar>
              <w:top w:w="0" w:type="dxa"/>
              <w:left w:w="0" w:type="dxa"/>
              <w:bottom w:w="0" w:type="dxa"/>
              <w:right w:w="0" w:type="dxa"/>
            </w:tcMar>
            <w:vAlign w:val="center"/>
          </w:tcPr>
          <w:p w14:paraId="284A9BBE">
            <w:pPr>
              <w:autoSpaceDE w:val="0"/>
              <w:autoSpaceDN w:val="0"/>
              <w:spacing w:line="360" w:lineRule="auto"/>
              <w:jc w:val="center"/>
              <w:rPr>
                <w:rFonts w:hint="eastAsia" w:ascii="宋体" w:hAnsi="宋体" w:cs="宋体"/>
                <w:sz w:val="24"/>
              </w:rPr>
            </w:pPr>
            <w:r>
              <w:rPr>
                <w:rFonts w:hint="eastAsia" w:ascii="宋体" w:hAnsi="宋体" w:cs="宋体"/>
                <w:sz w:val="24"/>
              </w:rPr>
              <w:t>是否授权评标委员会确定中标人</w:t>
            </w:r>
          </w:p>
        </w:tc>
        <w:tc>
          <w:tcPr>
            <w:tcW w:w="7252" w:type="dxa"/>
            <w:tcBorders>
              <w:top w:val="single" w:color="000000" w:sz="6" w:space="0"/>
              <w:left w:val="single" w:color="000000" w:sz="6" w:space="0"/>
            </w:tcBorders>
            <w:shd w:val="solid" w:color="FFFFFF" w:fill="auto"/>
            <w:tcMar>
              <w:top w:w="0" w:type="dxa"/>
              <w:left w:w="0" w:type="dxa"/>
              <w:bottom w:w="0" w:type="dxa"/>
              <w:right w:w="0" w:type="dxa"/>
            </w:tcMar>
            <w:vAlign w:val="center"/>
          </w:tcPr>
          <w:p w14:paraId="5145816B">
            <w:pPr>
              <w:spacing w:line="360" w:lineRule="auto"/>
              <w:jc w:val="left"/>
              <w:rPr>
                <w:rFonts w:hint="eastAsia" w:ascii="宋体" w:hAnsi="宋体" w:cs="宋体"/>
                <w:sz w:val="24"/>
              </w:rPr>
            </w:pPr>
            <w:r>
              <w:rPr>
                <w:rFonts w:hint="eastAsia" w:ascii="宋体" w:hAnsi="宋体" w:cs="宋体"/>
                <w:sz w:val="24"/>
              </w:rPr>
              <w:t>□ 是</w:t>
            </w:r>
          </w:p>
          <w:p w14:paraId="7282C4F4">
            <w:pPr>
              <w:spacing w:line="360" w:lineRule="auto"/>
              <w:jc w:val="left"/>
              <w:rPr>
                <w:rFonts w:hint="eastAsia" w:ascii="宋体" w:hAnsi="宋体" w:cs="宋体"/>
                <w:sz w:val="24"/>
              </w:rPr>
            </w:pPr>
            <w:r>
              <w:rPr>
                <w:rFonts w:hint="eastAsia" w:ascii="宋体" w:hAnsi="宋体" w:cs="宋体"/>
                <w:sz w:val="24"/>
              </w:rPr>
              <w:t>■ 否，推荐中标候选人。</w:t>
            </w:r>
          </w:p>
        </w:tc>
      </w:tr>
      <w:tr w14:paraId="1A037C8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423" w:type="dxa"/>
            <w:tcBorders>
              <w:top w:val="single" w:color="000000" w:sz="6" w:space="0"/>
            </w:tcBorders>
            <w:shd w:val="solid" w:color="FFFFFF" w:fill="auto"/>
            <w:tcMar>
              <w:top w:w="0" w:type="dxa"/>
              <w:left w:w="0" w:type="dxa"/>
              <w:bottom w:w="0" w:type="dxa"/>
              <w:right w:w="0" w:type="dxa"/>
            </w:tcMar>
            <w:vAlign w:val="center"/>
          </w:tcPr>
          <w:p w14:paraId="0411651F">
            <w:pPr>
              <w:spacing w:line="360" w:lineRule="auto"/>
              <w:jc w:val="center"/>
              <w:rPr>
                <w:rFonts w:hint="eastAsia" w:ascii="宋体" w:hAnsi="宋体" w:cs="宋体"/>
                <w:sz w:val="24"/>
              </w:rPr>
            </w:pPr>
            <w:r>
              <w:rPr>
                <w:rFonts w:hint="eastAsia" w:ascii="宋体" w:hAnsi="宋体" w:cs="宋体"/>
                <w:sz w:val="24"/>
              </w:rPr>
              <w:t>27</w:t>
            </w:r>
          </w:p>
        </w:tc>
        <w:tc>
          <w:tcPr>
            <w:tcW w:w="2410" w:type="dxa"/>
            <w:gridSpan w:val="2"/>
            <w:tcBorders>
              <w:top w:val="single" w:color="000000" w:sz="6" w:space="0"/>
              <w:left w:val="single" w:color="000000" w:sz="6" w:space="0"/>
            </w:tcBorders>
            <w:shd w:val="solid" w:color="FFFFFF" w:fill="auto"/>
            <w:tcMar>
              <w:top w:w="0" w:type="dxa"/>
              <w:left w:w="0" w:type="dxa"/>
              <w:bottom w:w="0" w:type="dxa"/>
              <w:right w:w="0" w:type="dxa"/>
            </w:tcMar>
            <w:vAlign w:val="center"/>
          </w:tcPr>
          <w:p w14:paraId="2A61185A">
            <w:pPr>
              <w:spacing w:line="360" w:lineRule="auto"/>
              <w:jc w:val="center"/>
              <w:rPr>
                <w:rFonts w:hint="eastAsia" w:ascii="宋体" w:hAnsi="宋体" w:cs="宋体"/>
                <w:sz w:val="24"/>
              </w:rPr>
            </w:pPr>
            <w:r>
              <w:rPr>
                <w:rFonts w:hint="eastAsia" w:ascii="宋体" w:hAnsi="宋体" w:cs="宋体"/>
                <w:sz w:val="24"/>
              </w:rPr>
              <w:t>中标服务费</w:t>
            </w:r>
          </w:p>
        </w:tc>
        <w:tc>
          <w:tcPr>
            <w:tcW w:w="7252" w:type="dxa"/>
            <w:tcBorders>
              <w:top w:val="single" w:color="000000" w:sz="6" w:space="0"/>
              <w:left w:val="single" w:color="000000" w:sz="6" w:space="0"/>
            </w:tcBorders>
            <w:shd w:val="solid" w:color="FFFFFF" w:fill="auto"/>
            <w:tcMar>
              <w:top w:w="0" w:type="dxa"/>
              <w:left w:w="0" w:type="dxa"/>
              <w:bottom w:w="0" w:type="dxa"/>
              <w:right w:w="0" w:type="dxa"/>
            </w:tcMar>
            <w:vAlign w:val="center"/>
          </w:tcPr>
          <w:p w14:paraId="69EFF01C">
            <w:pPr>
              <w:spacing w:line="360" w:lineRule="auto"/>
              <w:rPr>
                <w:rFonts w:hint="eastAsia" w:ascii="宋体" w:hAnsi="宋体" w:cs="宋体"/>
                <w:sz w:val="24"/>
                <w:highlight w:val="yellow"/>
              </w:rPr>
            </w:pPr>
            <w:r>
              <w:rPr>
                <w:rFonts w:hint="eastAsia" w:ascii="宋体" w:hAnsi="宋体" w:cs="宋体"/>
                <w:sz w:val="24"/>
              </w:rPr>
              <w:t>（1）金额：</w:t>
            </w:r>
          </w:p>
          <w:p w14:paraId="34DB63F3">
            <w:pPr>
              <w:spacing w:line="360" w:lineRule="auto"/>
              <w:rPr>
                <w:rFonts w:hint="eastAsia" w:ascii="宋体" w:hAnsi="宋体" w:cs="宋体"/>
                <w:sz w:val="24"/>
              </w:rPr>
            </w:pPr>
            <w:r>
              <w:rPr>
                <w:rFonts w:hint="eastAsia" w:ascii="宋体" w:hAnsi="宋体" w:cs="宋体"/>
                <w:sz w:val="24"/>
              </w:rPr>
              <w:t>（2）缴纳方式：可用现金、微信、银行转账或电汇的付款方式。</w:t>
            </w:r>
          </w:p>
          <w:p w14:paraId="5F962BD4">
            <w:pPr>
              <w:spacing w:line="360" w:lineRule="auto"/>
              <w:rPr>
                <w:rFonts w:hint="eastAsia" w:ascii="宋体" w:hAnsi="宋体" w:cs="宋体"/>
                <w:sz w:val="24"/>
              </w:rPr>
            </w:pPr>
            <w:r>
              <w:rPr>
                <w:rFonts w:hint="eastAsia" w:ascii="宋体" w:hAnsi="宋体" w:cs="宋体"/>
                <w:sz w:val="24"/>
              </w:rPr>
              <w:t>缴纳账户信息：</w:t>
            </w:r>
          </w:p>
          <w:p w14:paraId="1F1C59F5">
            <w:pPr>
              <w:spacing w:line="360" w:lineRule="auto"/>
              <w:rPr>
                <w:rFonts w:hint="eastAsia" w:ascii="宋体" w:hAnsi="宋体" w:cs="宋体"/>
                <w:b/>
                <w:bCs/>
                <w:sz w:val="24"/>
              </w:rPr>
            </w:pPr>
            <w:r>
              <w:rPr>
                <w:rFonts w:hint="eastAsia" w:ascii="宋体" w:hAnsi="宋体" w:cs="宋体"/>
                <w:b/>
                <w:bCs/>
                <w:sz w:val="24"/>
              </w:rPr>
              <w:t>账户名称：云南璟鹏招标咨询有限公司玉溪分公司</w:t>
            </w:r>
          </w:p>
          <w:p w14:paraId="1DB3BBBC">
            <w:pPr>
              <w:spacing w:line="360" w:lineRule="auto"/>
              <w:rPr>
                <w:rFonts w:hint="eastAsia" w:ascii="宋体" w:hAnsi="宋体" w:cs="宋体"/>
                <w:b/>
                <w:bCs/>
                <w:sz w:val="24"/>
              </w:rPr>
            </w:pPr>
            <w:r>
              <w:rPr>
                <w:rFonts w:hint="eastAsia" w:ascii="宋体" w:hAnsi="宋体" w:cs="宋体"/>
                <w:b/>
                <w:bCs/>
                <w:sz w:val="24"/>
              </w:rPr>
              <w:t>开户银行：中国建设银行股份有限公司玉溪北苑支行</w:t>
            </w:r>
          </w:p>
          <w:p w14:paraId="1335E9D3">
            <w:pPr>
              <w:spacing w:line="360" w:lineRule="auto"/>
              <w:rPr>
                <w:rFonts w:hint="eastAsia" w:ascii="宋体" w:hAnsi="宋体" w:cs="宋体"/>
                <w:b/>
                <w:bCs/>
                <w:sz w:val="24"/>
              </w:rPr>
            </w:pPr>
            <w:r>
              <w:rPr>
                <w:rFonts w:hint="eastAsia" w:ascii="宋体" w:hAnsi="宋体" w:cs="宋体"/>
                <w:b/>
                <w:bCs/>
                <w:sz w:val="24"/>
              </w:rPr>
              <w:t>银行账号：53050165613700000733</w:t>
            </w:r>
          </w:p>
          <w:p w14:paraId="165804EB">
            <w:pPr>
              <w:spacing w:line="360" w:lineRule="auto"/>
              <w:rPr>
                <w:rFonts w:hint="eastAsia" w:ascii="宋体" w:hAnsi="宋体" w:cs="宋体"/>
                <w:b/>
                <w:bCs/>
                <w:sz w:val="24"/>
              </w:rPr>
            </w:pPr>
            <w:r>
              <w:rPr>
                <w:rFonts w:hint="eastAsia" w:ascii="宋体" w:hAnsi="宋体" w:cs="宋体"/>
                <w:b/>
                <w:bCs/>
                <w:sz w:val="24"/>
              </w:rPr>
              <w:t>联系人：李工</w:t>
            </w:r>
          </w:p>
          <w:p w14:paraId="49C166DD">
            <w:pPr>
              <w:spacing w:line="360" w:lineRule="auto"/>
              <w:rPr>
                <w:rFonts w:hint="eastAsia" w:ascii="宋体" w:hAnsi="宋体" w:cs="宋体"/>
                <w:b/>
                <w:bCs/>
                <w:sz w:val="24"/>
              </w:rPr>
            </w:pPr>
            <w:r>
              <w:rPr>
                <w:rFonts w:hint="eastAsia" w:ascii="宋体" w:hAnsi="宋体" w:cs="宋体"/>
                <w:b/>
                <w:bCs/>
                <w:sz w:val="24"/>
              </w:rPr>
              <w:t>联系电话：19038699360、13577702799</w:t>
            </w:r>
          </w:p>
          <w:p w14:paraId="1B940EAB">
            <w:pPr>
              <w:spacing w:line="360" w:lineRule="auto"/>
              <w:rPr>
                <w:rFonts w:hint="eastAsia" w:ascii="宋体" w:hAnsi="宋体" w:cs="宋体"/>
                <w:sz w:val="24"/>
              </w:rPr>
            </w:pPr>
            <w:r>
              <w:rPr>
                <w:rFonts w:hint="eastAsia" w:ascii="宋体" w:hAnsi="宋体" w:cs="宋体"/>
                <w:sz w:val="24"/>
              </w:rPr>
              <w:t>（3）中标人在领取《中标通知书》前应向采购代理机构缴纳中标服务费。如采用电汇或银行转账，须同时递交中标服务费缴费凭证复印件。</w:t>
            </w:r>
          </w:p>
        </w:tc>
      </w:tr>
      <w:tr w14:paraId="35EA3FF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423" w:type="dxa"/>
            <w:tcBorders>
              <w:top w:val="single" w:color="000000" w:sz="6" w:space="0"/>
              <w:bottom w:val="single" w:color="000000" w:sz="6" w:space="0"/>
            </w:tcBorders>
            <w:shd w:val="solid" w:color="FFFFFF" w:fill="auto"/>
            <w:tcMar>
              <w:top w:w="0" w:type="dxa"/>
              <w:left w:w="0" w:type="dxa"/>
              <w:bottom w:w="0" w:type="dxa"/>
              <w:right w:w="0" w:type="dxa"/>
            </w:tcMar>
            <w:vAlign w:val="center"/>
          </w:tcPr>
          <w:p w14:paraId="12CE238A">
            <w:pPr>
              <w:spacing w:line="360" w:lineRule="auto"/>
              <w:jc w:val="center"/>
              <w:rPr>
                <w:rFonts w:hint="eastAsia" w:ascii="宋体" w:hAnsi="宋体" w:cs="宋体"/>
                <w:sz w:val="24"/>
              </w:rPr>
            </w:pPr>
            <w:r>
              <w:rPr>
                <w:rFonts w:hint="eastAsia" w:ascii="宋体" w:hAnsi="宋体" w:cs="宋体"/>
                <w:sz w:val="24"/>
              </w:rPr>
              <w:t>28</w:t>
            </w:r>
          </w:p>
        </w:tc>
        <w:tc>
          <w:tcPr>
            <w:tcW w:w="9662" w:type="dxa"/>
            <w:gridSpan w:val="3"/>
            <w:tcBorders>
              <w:top w:val="single" w:color="000000" w:sz="6" w:space="0"/>
              <w:left w:val="single" w:color="000000" w:sz="6" w:space="0"/>
              <w:bottom w:val="single" w:color="000000" w:sz="6" w:space="0"/>
            </w:tcBorders>
            <w:shd w:val="solid" w:color="FFFFFF" w:fill="auto"/>
            <w:tcMar>
              <w:top w:w="0" w:type="dxa"/>
              <w:left w:w="0" w:type="dxa"/>
              <w:bottom w:w="0" w:type="dxa"/>
              <w:right w:w="0" w:type="dxa"/>
            </w:tcMar>
            <w:vAlign w:val="center"/>
          </w:tcPr>
          <w:p w14:paraId="09361158">
            <w:pPr>
              <w:spacing w:line="360" w:lineRule="auto"/>
              <w:rPr>
                <w:rFonts w:hint="eastAsia" w:ascii="宋体" w:hAnsi="宋体" w:cs="宋体"/>
                <w:b/>
                <w:sz w:val="24"/>
              </w:rPr>
            </w:pPr>
            <w:r>
              <w:rPr>
                <w:rFonts w:hint="eastAsia" w:ascii="宋体" w:hAnsi="宋体" w:cs="宋体"/>
                <w:b/>
                <w:sz w:val="24"/>
              </w:rPr>
              <w:t>落实的政府采购政策：</w:t>
            </w:r>
          </w:p>
          <w:p w14:paraId="7A4416E3">
            <w:pPr>
              <w:spacing w:line="360" w:lineRule="auto"/>
              <w:rPr>
                <w:rFonts w:hint="eastAsia" w:ascii="宋体" w:hAnsi="宋体" w:cs="宋体"/>
                <w:b/>
                <w:sz w:val="24"/>
              </w:rPr>
            </w:pPr>
            <w:r>
              <w:rPr>
                <w:rFonts w:hint="eastAsia" w:ascii="宋体" w:hAnsi="宋体" w:cs="宋体"/>
                <w:b/>
                <w:sz w:val="24"/>
              </w:rPr>
              <w:t>一、按政府采购政策规定扶持小微企业、监狱企业和残疾人福利性单位。</w:t>
            </w:r>
          </w:p>
          <w:p w14:paraId="212EEBF7">
            <w:pPr>
              <w:spacing w:line="360" w:lineRule="auto"/>
              <w:ind w:firstLine="236" w:firstLineChars="98"/>
              <w:rPr>
                <w:rFonts w:hint="eastAsia" w:ascii="宋体" w:hAnsi="宋体" w:cs="宋体"/>
                <w:b/>
                <w:bCs/>
                <w:sz w:val="24"/>
              </w:rPr>
            </w:pPr>
            <w:r>
              <w:rPr>
                <w:rFonts w:hint="eastAsia" w:ascii="宋体" w:hAnsi="宋体" w:cs="宋体"/>
                <w:b/>
                <w:bCs/>
                <w:sz w:val="24"/>
              </w:rPr>
              <w:t>（1）小微企业价格扣除</w:t>
            </w:r>
          </w:p>
          <w:p w14:paraId="201F32FB">
            <w:pPr>
              <w:spacing w:line="360" w:lineRule="auto"/>
              <w:ind w:firstLine="360" w:firstLineChars="150"/>
              <w:rPr>
                <w:rFonts w:hint="eastAsia" w:ascii="宋体" w:hAnsi="宋体" w:cs="宋体"/>
                <w:b/>
                <w:bCs/>
                <w:sz w:val="24"/>
              </w:rPr>
            </w:pPr>
            <w:r>
              <w:rPr>
                <w:rFonts w:hint="eastAsia" w:ascii="宋体" w:hAnsi="宋体" w:cs="宋体"/>
                <w:sz w:val="24"/>
              </w:rPr>
              <w:t>A.为促进中小企业发展，根据《政府采购促进中小企业发展管理办法》（财库〔2020〕46号）和《关于进一步加大政府采购支持中小企业力度的通知》（财库〔2022〕19号）的规定，</w:t>
            </w:r>
            <w:r>
              <w:rPr>
                <w:rFonts w:hint="eastAsia" w:ascii="宋体" w:hAnsi="宋体" w:cs="宋体"/>
                <w:b/>
                <w:bCs/>
                <w:sz w:val="24"/>
              </w:rPr>
              <w:t>本次招标将对符合要求小型和微型企业产品的价格给予10%的扣除，用扣除后的价格参与评审。</w:t>
            </w:r>
          </w:p>
          <w:p w14:paraId="67F38F43">
            <w:pPr>
              <w:spacing w:line="360" w:lineRule="auto"/>
              <w:ind w:firstLine="360" w:firstLineChars="150"/>
              <w:rPr>
                <w:rFonts w:hint="eastAsia" w:ascii="宋体" w:hAnsi="宋体" w:cs="宋体"/>
                <w:sz w:val="24"/>
              </w:rPr>
            </w:pPr>
            <w:r>
              <w:rPr>
                <w:rFonts w:hint="eastAsia" w:ascii="宋体" w:hAnsi="宋体" w:cs="宋体"/>
                <w:sz w:val="24"/>
              </w:rPr>
              <w:t>B.招标文件所称小微企业（含小型、微型企业，下同）应当同时符合以下条件，方可在评审中给予10%的扣除：</w:t>
            </w:r>
          </w:p>
          <w:p w14:paraId="05CBF381">
            <w:pPr>
              <w:spacing w:line="360" w:lineRule="auto"/>
              <w:ind w:firstLine="360" w:firstLineChars="150"/>
              <w:rPr>
                <w:rFonts w:hint="eastAsia" w:ascii="宋体" w:hAnsi="宋体" w:cs="宋体"/>
                <w:sz w:val="24"/>
              </w:rPr>
            </w:pPr>
            <w:r>
              <w:rPr>
                <w:rFonts w:hint="eastAsia" w:ascii="宋体" w:hAnsi="宋体" w:cs="宋体"/>
                <w:sz w:val="24"/>
              </w:rPr>
              <w:t>①符合小微企业划分标准；</w:t>
            </w:r>
          </w:p>
          <w:p w14:paraId="7C49607F">
            <w:pPr>
              <w:spacing w:line="360" w:lineRule="auto"/>
              <w:ind w:firstLine="360" w:firstLineChars="150"/>
              <w:rPr>
                <w:rFonts w:hint="eastAsia" w:ascii="宋体" w:hAnsi="宋体" w:cs="宋体"/>
                <w:b/>
                <w:bCs/>
                <w:sz w:val="24"/>
              </w:rPr>
            </w:pPr>
            <w:r>
              <w:rPr>
                <w:rFonts w:hint="eastAsia" w:ascii="宋体" w:hAnsi="宋体" w:cs="宋体"/>
                <w:sz w:val="24"/>
              </w:rPr>
              <w:t>②货物由小微企业制造，即货物由小微企业生产且使用该小微企业商号或者注册商标；</w:t>
            </w:r>
          </w:p>
          <w:p w14:paraId="2607D0AA">
            <w:pPr>
              <w:spacing w:line="360" w:lineRule="auto"/>
              <w:ind w:firstLine="360" w:firstLineChars="150"/>
              <w:rPr>
                <w:rFonts w:hint="eastAsia" w:ascii="宋体" w:hAnsi="宋体" w:cs="宋体"/>
                <w:sz w:val="24"/>
              </w:rPr>
            </w:pPr>
            <w:r>
              <w:rPr>
                <w:rFonts w:hint="eastAsia" w:ascii="宋体" w:hAnsi="宋体" w:cs="宋体"/>
                <w:sz w:val="24"/>
              </w:rPr>
              <w:t>③提供中小企业声明函（声明函格式附后）；</w:t>
            </w:r>
          </w:p>
          <w:p w14:paraId="14DCCC39">
            <w:pPr>
              <w:spacing w:line="360" w:lineRule="auto"/>
              <w:ind w:firstLine="360" w:firstLineChars="150"/>
              <w:jc w:val="left"/>
              <w:rPr>
                <w:rFonts w:hint="eastAsia" w:ascii="宋体" w:hAnsi="宋体" w:cs="宋体"/>
                <w:b/>
                <w:bCs/>
                <w:sz w:val="24"/>
              </w:rPr>
            </w:pPr>
            <w:r>
              <w:rPr>
                <w:rFonts w:hint="eastAsia" w:ascii="宋体" w:hAnsi="宋体" w:cs="宋体"/>
                <w:sz w:val="24"/>
              </w:rPr>
              <w:t>④投标人在货物采购项目中，投标人为中小企业，但所提供的货物为大型企业制造的，即货物由大型企业生产且使用大型企业商号或者注册商标的。不享受《办法》规定的中小企业扶持政策。投标人提供的货物既有中型企业制造，也有小微企业制造的，不享受《办法》规定的小微企业扶持政策。</w:t>
            </w:r>
          </w:p>
          <w:p w14:paraId="75935E9A">
            <w:pPr>
              <w:spacing w:line="360" w:lineRule="auto"/>
              <w:ind w:firstLine="480"/>
              <w:rPr>
                <w:rFonts w:hint="eastAsia" w:ascii="宋体" w:hAnsi="宋体" w:cs="宋体"/>
                <w:sz w:val="24"/>
              </w:rPr>
            </w:pPr>
            <w:r>
              <w:rPr>
                <w:rFonts w:hint="eastAsia" w:ascii="宋体" w:hAnsi="宋体" w:cs="宋体"/>
                <w:sz w:val="24"/>
              </w:rPr>
              <w:t>C.根据</w:t>
            </w:r>
            <w:r>
              <w:fldChar w:fldCharType="begin"/>
            </w:r>
            <w:r>
              <w:instrText xml:space="preserve"> HYPERLINK "../Documents/WeChat%20Files/wenjingxu520/FileStorage/Administrator/Documents/WeChat%20Files/fm46501730/FileStorage/Documents/WeChat%20Files/wxid_6rde7bcxmmt022/FileStorage/File/法律文件/政采/中小企业划分标准--工信部联企业%5b2011%5d300号.doc" </w:instrText>
            </w:r>
            <w:r>
              <w:fldChar w:fldCharType="separate"/>
            </w:r>
            <w:r>
              <w:rPr>
                <w:rStyle w:val="27"/>
                <w:rFonts w:hint="default" w:ascii="宋体" w:hAnsi="宋体" w:eastAsia="宋体" w:cs="宋体"/>
                <w:color w:val="auto"/>
              </w:rPr>
              <w:t>《工业和信息化部、国家统计局、国家发展和改革委员会、财政部关于印发中小企业划分标准规定的通知》（工信部联企业[2011]300号）</w:t>
            </w:r>
            <w:r>
              <w:rPr>
                <w:rStyle w:val="27"/>
                <w:rFonts w:hint="default" w:ascii="宋体" w:hAnsi="宋体" w:eastAsia="宋体" w:cs="宋体"/>
                <w:color w:val="auto"/>
              </w:rPr>
              <w:fldChar w:fldCharType="end"/>
            </w:r>
            <w:r>
              <w:rPr>
                <w:rFonts w:hint="eastAsia" w:ascii="宋体" w:hAnsi="宋体" w:cs="宋体"/>
                <w:sz w:val="24"/>
              </w:rPr>
              <w:t>规定的标准划分，本项目具体划分标准如下：</w:t>
            </w:r>
          </w:p>
          <w:p w14:paraId="31A1271E">
            <w:pPr>
              <w:spacing w:line="360" w:lineRule="auto"/>
              <w:ind w:firstLine="480"/>
              <w:rPr>
                <w:rFonts w:hint="eastAsia" w:ascii="宋体" w:hAnsi="宋体" w:cs="宋体"/>
                <w:sz w:val="24"/>
              </w:rPr>
            </w:pPr>
            <w:r>
              <w:rPr>
                <w:rFonts w:hint="eastAsia" w:ascii="宋体" w:hAnsi="宋体" w:cs="宋体"/>
                <w:sz w:val="24"/>
              </w:rPr>
              <w:t>①本项目</w:t>
            </w:r>
            <w:r>
              <w:rPr>
                <w:rFonts w:hint="eastAsia" w:ascii="宋体" w:hAnsi="宋体" w:cs="宋体"/>
                <w:bCs/>
                <w:sz w:val="24"/>
              </w:rPr>
              <w:t>适用于</w:t>
            </w:r>
            <w:r>
              <w:rPr>
                <w:rFonts w:hint="eastAsia" w:ascii="宋体" w:hAnsi="宋体" w:cs="宋体"/>
                <w:b/>
                <w:bCs/>
                <w:sz w:val="24"/>
                <w:u w:val="single"/>
              </w:rPr>
              <w:t>工业中的（制造业）</w:t>
            </w:r>
            <w:r>
              <w:rPr>
                <w:rFonts w:hint="eastAsia" w:ascii="宋体" w:hAnsi="宋体" w:cs="宋体"/>
                <w:bCs/>
                <w:sz w:val="24"/>
              </w:rPr>
              <w:t>划分标准</w:t>
            </w:r>
            <w:r>
              <w:rPr>
                <w:rFonts w:hint="eastAsia" w:ascii="宋体" w:hAnsi="宋体" w:cs="宋体"/>
                <w:sz w:val="24"/>
              </w:rPr>
              <w:t>：</w:t>
            </w:r>
            <w:r>
              <w:rPr>
                <w:rFonts w:hint="eastAsia" w:ascii="宋体" w:hAnsi="宋体" w:cs="宋体"/>
                <w:b/>
                <w:bCs/>
                <w:sz w:val="24"/>
              </w:rPr>
              <w:t>“</w:t>
            </w:r>
            <w:r>
              <w:rPr>
                <w:rFonts w:hint="eastAsia" w:ascii="宋体" w:hAnsi="宋体" w:cs="宋体"/>
                <w:b/>
                <w:bCs/>
                <w:sz w:val="24"/>
                <w:u w:val="single"/>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r>
              <w:rPr>
                <w:rFonts w:hint="eastAsia" w:ascii="宋体" w:hAnsi="宋体" w:cs="宋体"/>
                <w:b/>
                <w:bCs/>
                <w:sz w:val="24"/>
              </w:rPr>
              <w:t>”。</w:t>
            </w:r>
          </w:p>
          <w:p w14:paraId="0E667667">
            <w:pPr>
              <w:spacing w:line="360" w:lineRule="auto"/>
              <w:rPr>
                <w:rFonts w:hint="eastAsia" w:ascii="宋体" w:hAnsi="宋体" w:cs="宋体"/>
                <w:sz w:val="24"/>
              </w:rPr>
            </w:pPr>
          </w:p>
          <w:p w14:paraId="0BD9125B">
            <w:pPr>
              <w:spacing w:line="360" w:lineRule="auto"/>
              <w:rPr>
                <w:rFonts w:hint="eastAsia" w:ascii="宋体" w:hAnsi="宋体" w:cs="宋体"/>
                <w:sz w:val="24"/>
              </w:rPr>
            </w:pPr>
            <w:r>
              <w:rPr>
                <w:rFonts w:hint="eastAsia" w:ascii="宋体" w:hAnsi="宋体" w:cs="宋体"/>
                <w:sz w:val="24"/>
              </w:rPr>
              <w:t>格式：</w:t>
            </w:r>
          </w:p>
          <w:p w14:paraId="21A1E4BC">
            <w:pPr>
              <w:tabs>
                <w:tab w:val="left" w:pos="426"/>
              </w:tabs>
              <w:spacing w:line="360" w:lineRule="auto"/>
              <w:jc w:val="center"/>
              <w:rPr>
                <w:rFonts w:hint="eastAsia" w:ascii="宋体" w:hAnsi="宋体" w:cs="宋体"/>
                <w:b/>
                <w:sz w:val="22"/>
                <w:szCs w:val="22"/>
              </w:rPr>
            </w:pPr>
            <w:r>
              <w:rPr>
                <w:rFonts w:hint="eastAsia" w:ascii="宋体" w:hAnsi="宋体" w:cs="宋体"/>
                <w:b/>
                <w:sz w:val="28"/>
                <w:szCs w:val="28"/>
              </w:rPr>
              <w:t>中小企业声明函（货物）</w:t>
            </w:r>
          </w:p>
          <w:p w14:paraId="5AD0B233">
            <w:pPr>
              <w:tabs>
                <w:tab w:val="left" w:pos="426"/>
              </w:tabs>
              <w:spacing w:line="360" w:lineRule="auto"/>
              <w:ind w:firstLine="480" w:firstLineChars="200"/>
              <w:rPr>
                <w:rFonts w:hint="eastAsia" w:ascii="宋体" w:hAnsi="宋体" w:cs="宋体"/>
                <w:bCs/>
                <w:sz w:val="24"/>
              </w:rPr>
            </w:pPr>
            <w:r>
              <w:rPr>
                <w:rFonts w:hint="eastAsia" w:ascii="宋体" w:hAnsi="宋体" w:cs="宋体"/>
                <w:bCs/>
                <w:sz w:val="24"/>
              </w:rPr>
              <w:t>本公司郑重声明，根据《政府采购促进中小企业发展管理办法》（财库﹝2020﹞46 号）的规定，本公司参加</w:t>
            </w:r>
            <w:r>
              <w:rPr>
                <w:rFonts w:hint="eastAsia" w:ascii="宋体" w:hAnsi="宋体" w:cs="宋体"/>
                <w:bCs/>
                <w:sz w:val="24"/>
                <w:u w:val="single"/>
              </w:rPr>
              <w:t>（采购人名称）</w:t>
            </w:r>
            <w:r>
              <w:rPr>
                <w:rFonts w:hint="eastAsia" w:ascii="宋体" w:hAnsi="宋体" w:cs="宋体"/>
                <w:bCs/>
                <w:sz w:val="24"/>
              </w:rPr>
              <w:t>的</w:t>
            </w:r>
            <w:r>
              <w:rPr>
                <w:rFonts w:hint="eastAsia" w:ascii="宋体" w:hAnsi="宋体" w:cs="宋体"/>
                <w:bCs/>
                <w:sz w:val="24"/>
                <w:u w:val="single"/>
              </w:rPr>
              <w:t>（项目名称）</w:t>
            </w:r>
            <w:r>
              <w:rPr>
                <w:rFonts w:hint="eastAsia" w:ascii="宋体" w:hAnsi="宋体" w:cs="宋体"/>
                <w:bCs/>
                <w:sz w:val="24"/>
              </w:rPr>
              <w:t>采购活动，提供的货物全部由符合政策要求的中小企业制造。相关企业具体情况如下：</w:t>
            </w:r>
          </w:p>
          <w:p w14:paraId="13512752">
            <w:pPr>
              <w:tabs>
                <w:tab w:val="left" w:pos="426"/>
              </w:tabs>
              <w:spacing w:line="360" w:lineRule="auto"/>
              <w:ind w:firstLine="480" w:firstLineChars="200"/>
              <w:rPr>
                <w:rFonts w:hint="eastAsia" w:ascii="宋体" w:hAnsi="宋体" w:cs="宋体"/>
                <w:bCs/>
                <w:sz w:val="24"/>
              </w:rPr>
            </w:pPr>
            <w:r>
              <w:rPr>
                <w:rFonts w:hint="eastAsia" w:ascii="宋体" w:hAnsi="宋体" w:cs="宋体"/>
                <w:bCs/>
                <w:sz w:val="24"/>
              </w:rPr>
              <w:t>1.</w:t>
            </w:r>
            <w:r>
              <w:rPr>
                <w:rFonts w:hint="eastAsia" w:ascii="宋体" w:hAnsi="宋体" w:cs="宋体"/>
                <w:bCs/>
                <w:sz w:val="24"/>
                <w:u w:val="single"/>
              </w:rPr>
              <w:t>（标的名称）</w:t>
            </w:r>
            <w:r>
              <w:rPr>
                <w:rFonts w:hint="eastAsia" w:ascii="宋体" w:hAnsi="宋体" w:cs="宋体"/>
                <w:bCs/>
                <w:sz w:val="24"/>
              </w:rPr>
              <w:t>，属于</w:t>
            </w:r>
            <w:r>
              <w:rPr>
                <w:rFonts w:hint="eastAsia" w:ascii="宋体" w:hAnsi="宋体" w:cs="宋体"/>
                <w:bCs/>
                <w:sz w:val="24"/>
                <w:u w:val="single"/>
              </w:rPr>
              <w:t>（招标文件中明确的所属行业）</w:t>
            </w:r>
            <w:r>
              <w:rPr>
                <w:rFonts w:hint="eastAsia" w:ascii="宋体" w:hAnsi="宋体" w:cs="宋体"/>
                <w:bCs/>
                <w:sz w:val="24"/>
              </w:rPr>
              <w:t>行业；制造商为</w:t>
            </w:r>
            <w:r>
              <w:rPr>
                <w:rFonts w:hint="eastAsia" w:ascii="宋体" w:hAnsi="宋体" w:cs="宋体"/>
                <w:bCs/>
                <w:sz w:val="24"/>
                <w:u w:val="single"/>
              </w:rPr>
              <w:t>（企业名称）</w:t>
            </w:r>
            <w:r>
              <w:rPr>
                <w:rFonts w:hint="eastAsia" w:ascii="宋体" w:hAnsi="宋体" w:cs="宋体"/>
                <w:bCs/>
                <w:sz w:val="24"/>
              </w:rPr>
              <w:t>，从业人员</w:t>
            </w:r>
            <w:r>
              <w:rPr>
                <w:rFonts w:hint="eastAsia" w:ascii="宋体" w:hAnsi="宋体" w:cs="宋体"/>
                <w:bCs/>
                <w:sz w:val="24"/>
                <w:u w:val="single"/>
              </w:rPr>
              <w:t xml:space="preserve">    </w:t>
            </w:r>
            <w:r>
              <w:rPr>
                <w:rFonts w:hint="eastAsia" w:ascii="宋体" w:hAnsi="宋体" w:cs="宋体"/>
                <w:bCs/>
                <w:sz w:val="24"/>
              </w:rPr>
              <w:t>人，营业收入为</w:t>
            </w:r>
            <w:r>
              <w:rPr>
                <w:rFonts w:hint="eastAsia" w:ascii="宋体" w:hAnsi="宋体" w:cs="宋体"/>
                <w:bCs/>
                <w:sz w:val="24"/>
                <w:u w:val="single"/>
              </w:rPr>
              <w:t xml:space="preserve">     </w:t>
            </w:r>
            <w:r>
              <w:rPr>
                <w:rFonts w:hint="eastAsia" w:ascii="宋体" w:hAnsi="宋体" w:cs="宋体"/>
                <w:bCs/>
                <w:sz w:val="24"/>
              </w:rPr>
              <w:t>万元，资产总额为</w:t>
            </w:r>
            <w:r>
              <w:rPr>
                <w:rFonts w:hint="eastAsia" w:ascii="宋体" w:hAnsi="宋体" w:cs="宋体"/>
                <w:bCs/>
                <w:sz w:val="24"/>
                <w:u w:val="single"/>
              </w:rPr>
              <w:t xml:space="preserve">      </w:t>
            </w:r>
            <w:r>
              <w:rPr>
                <w:rFonts w:hint="eastAsia" w:ascii="宋体" w:hAnsi="宋体" w:cs="宋体"/>
                <w:bCs/>
                <w:sz w:val="24"/>
              </w:rPr>
              <w:t>万元，属于</w:t>
            </w:r>
            <w:r>
              <w:rPr>
                <w:rFonts w:hint="eastAsia" w:ascii="宋体" w:hAnsi="宋体" w:cs="宋体"/>
                <w:bCs/>
                <w:sz w:val="24"/>
                <w:u w:val="single"/>
              </w:rPr>
              <w:t>（中型企业/小型企业/微型企业）</w:t>
            </w:r>
            <w:r>
              <w:rPr>
                <w:rFonts w:hint="eastAsia" w:ascii="宋体" w:hAnsi="宋体" w:cs="宋体"/>
                <w:bCs/>
                <w:sz w:val="24"/>
              </w:rPr>
              <w:t>；</w:t>
            </w:r>
          </w:p>
          <w:p w14:paraId="2B5E31A2">
            <w:pPr>
              <w:tabs>
                <w:tab w:val="left" w:pos="426"/>
              </w:tabs>
              <w:spacing w:line="360" w:lineRule="auto"/>
              <w:ind w:firstLine="480" w:firstLineChars="200"/>
              <w:rPr>
                <w:rFonts w:hint="eastAsia" w:ascii="宋体" w:hAnsi="宋体" w:cs="宋体"/>
                <w:bCs/>
                <w:sz w:val="24"/>
              </w:rPr>
            </w:pPr>
            <w:r>
              <w:rPr>
                <w:rFonts w:hint="eastAsia" w:ascii="宋体" w:hAnsi="宋体" w:cs="宋体"/>
                <w:bCs/>
                <w:sz w:val="24"/>
              </w:rPr>
              <w:t>2.</w:t>
            </w:r>
            <w:r>
              <w:rPr>
                <w:rFonts w:hint="eastAsia" w:ascii="宋体" w:hAnsi="宋体" w:cs="宋体"/>
                <w:bCs/>
                <w:sz w:val="24"/>
                <w:u w:val="single"/>
              </w:rPr>
              <w:t>（标的名称）</w:t>
            </w:r>
            <w:r>
              <w:rPr>
                <w:rFonts w:hint="eastAsia" w:ascii="宋体" w:hAnsi="宋体" w:cs="宋体"/>
                <w:bCs/>
                <w:sz w:val="24"/>
              </w:rPr>
              <w:t>，属于</w:t>
            </w:r>
            <w:r>
              <w:rPr>
                <w:rFonts w:hint="eastAsia" w:ascii="宋体" w:hAnsi="宋体" w:cs="宋体"/>
                <w:bCs/>
                <w:sz w:val="24"/>
                <w:u w:val="single"/>
              </w:rPr>
              <w:t>（招标文件中明确的所属行业）</w:t>
            </w:r>
            <w:r>
              <w:rPr>
                <w:rFonts w:hint="eastAsia" w:ascii="宋体" w:hAnsi="宋体" w:cs="宋体"/>
                <w:bCs/>
                <w:sz w:val="24"/>
              </w:rPr>
              <w:t>行业；制造商为</w:t>
            </w:r>
            <w:r>
              <w:rPr>
                <w:rFonts w:hint="eastAsia" w:ascii="宋体" w:hAnsi="宋体" w:cs="宋体"/>
                <w:bCs/>
                <w:sz w:val="24"/>
                <w:u w:val="single"/>
              </w:rPr>
              <w:t>（企业名称）</w:t>
            </w:r>
            <w:r>
              <w:rPr>
                <w:rFonts w:hint="eastAsia" w:ascii="宋体" w:hAnsi="宋体" w:cs="宋体"/>
                <w:bCs/>
                <w:sz w:val="24"/>
              </w:rPr>
              <w:t>，从业人员</w:t>
            </w:r>
            <w:r>
              <w:rPr>
                <w:rFonts w:hint="eastAsia" w:ascii="宋体" w:hAnsi="宋体" w:cs="宋体"/>
                <w:bCs/>
                <w:sz w:val="24"/>
                <w:u w:val="single"/>
              </w:rPr>
              <w:t xml:space="preserve">    </w:t>
            </w:r>
            <w:r>
              <w:rPr>
                <w:rFonts w:hint="eastAsia" w:ascii="宋体" w:hAnsi="宋体" w:cs="宋体"/>
                <w:bCs/>
                <w:sz w:val="24"/>
              </w:rPr>
              <w:t xml:space="preserve"> 人，营业收入为</w:t>
            </w:r>
            <w:r>
              <w:rPr>
                <w:rFonts w:hint="eastAsia" w:ascii="宋体" w:hAnsi="宋体" w:cs="宋体"/>
                <w:bCs/>
                <w:sz w:val="24"/>
                <w:u w:val="single"/>
              </w:rPr>
              <w:t xml:space="preserve">    </w:t>
            </w:r>
            <w:r>
              <w:rPr>
                <w:rFonts w:hint="eastAsia" w:ascii="宋体" w:hAnsi="宋体" w:cs="宋体"/>
                <w:bCs/>
                <w:sz w:val="24"/>
              </w:rPr>
              <w:t>万元，资产总额为</w:t>
            </w:r>
            <w:r>
              <w:rPr>
                <w:rFonts w:hint="eastAsia" w:ascii="宋体" w:hAnsi="宋体" w:cs="宋体"/>
                <w:bCs/>
                <w:sz w:val="24"/>
                <w:u w:val="single"/>
              </w:rPr>
              <w:t xml:space="preserve">     </w:t>
            </w:r>
            <w:r>
              <w:rPr>
                <w:rFonts w:hint="eastAsia" w:ascii="宋体" w:hAnsi="宋体" w:cs="宋体"/>
                <w:bCs/>
                <w:sz w:val="24"/>
              </w:rPr>
              <w:t>万元，属于</w:t>
            </w:r>
            <w:r>
              <w:rPr>
                <w:rFonts w:hint="eastAsia" w:ascii="宋体" w:hAnsi="宋体" w:cs="宋体"/>
                <w:bCs/>
                <w:sz w:val="24"/>
                <w:u w:val="single"/>
              </w:rPr>
              <w:t>（中型企业/小型企业/微型企业）</w:t>
            </w:r>
            <w:r>
              <w:rPr>
                <w:rFonts w:hint="eastAsia" w:ascii="宋体" w:hAnsi="宋体" w:cs="宋体"/>
                <w:bCs/>
                <w:sz w:val="24"/>
              </w:rPr>
              <w:t xml:space="preserve">； </w:t>
            </w:r>
          </w:p>
          <w:p w14:paraId="57A2DA35">
            <w:pPr>
              <w:tabs>
                <w:tab w:val="left" w:pos="426"/>
              </w:tabs>
              <w:spacing w:line="360" w:lineRule="auto"/>
              <w:ind w:firstLine="480" w:firstLineChars="200"/>
              <w:rPr>
                <w:rFonts w:hint="eastAsia" w:ascii="宋体" w:hAnsi="宋体" w:cs="宋体"/>
                <w:bCs/>
                <w:sz w:val="24"/>
              </w:rPr>
            </w:pPr>
            <w:r>
              <w:rPr>
                <w:rFonts w:hint="eastAsia" w:ascii="宋体" w:hAnsi="宋体" w:cs="宋体"/>
                <w:bCs/>
                <w:sz w:val="24"/>
              </w:rPr>
              <w:t>……</w:t>
            </w:r>
          </w:p>
          <w:p w14:paraId="1D9A129A">
            <w:pPr>
              <w:tabs>
                <w:tab w:val="left" w:pos="426"/>
              </w:tabs>
              <w:spacing w:line="360" w:lineRule="auto"/>
              <w:ind w:firstLine="480" w:firstLineChars="200"/>
              <w:rPr>
                <w:rFonts w:hint="eastAsia" w:ascii="宋体" w:hAnsi="宋体" w:cs="宋体"/>
                <w:bCs/>
                <w:sz w:val="24"/>
              </w:rPr>
            </w:pPr>
            <w:r>
              <w:rPr>
                <w:rFonts w:hint="eastAsia" w:ascii="宋体" w:hAnsi="宋体" w:cs="宋体"/>
                <w:bCs/>
                <w:sz w:val="24"/>
              </w:rPr>
              <w:t xml:space="preserve">以上企业，不属于大企业的分支构，不存在控股股东为大企业的情形，也不存在与大企业的负责人为同一人的情形。 </w:t>
            </w:r>
          </w:p>
          <w:p w14:paraId="3AC84E46">
            <w:pPr>
              <w:tabs>
                <w:tab w:val="left" w:pos="426"/>
              </w:tabs>
              <w:spacing w:line="360" w:lineRule="auto"/>
              <w:ind w:firstLine="480" w:firstLineChars="200"/>
              <w:rPr>
                <w:rFonts w:hint="eastAsia" w:ascii="宋体" w:hAnsi="宋体" w:cs="宋体"/>
                <w:bCs/>
                <w:sz w:val="24"/>
              </w:rPr>
            </w:pPr>
            <w:r>
              <w:rPr>
                <w:rFonts w:hint="eastAsia" w:ascii="宋体" w:hAnsi="宋体" w:cs="宋体"/>
                <w:bCs/>
                <w:sz w:val="24"/>
              </w:rPr>
              <w:t>本企业对上述声明内容的真实性负责。如有虚假，将依法承担相应责任。</w:t>
            </w:r>
          </w:p>
          <w:p w14:paraId="316FB357">
            <w:pPr>
              <w:tabs>
                <w:tab w:val="left" w:pos="426"/>
              </w:tabs>
              <w:spacing w:line="360" w:lineRule="auto"/>
              <w:ind w:firstLine="5520" w:firstLineChars="2300"/>
              <w:rPr>
                <w:rFonts w:hint="eastAsia" w:ascii="宋体" w:hAnsi="宋体" w:cs="宋体"/>
                <w:bCs/>
                <w:sz w:val="24"/>
              </w:rPr>
            </w:pPr>
          </w:p>
          <w:p w14:paraId="253FD744">
            <w:pPr>
              <w:tabs>
                <w:tab w:val="left" w:pos="426"/>
              </w:tabs>
              <w:spacing w:line="360" w:lineRule="auto"/>
              <w:ind w:firstLine="5520" w:firstLineChars="2300"/>
              <w:rPr>
                <w:rFonts w:hint="eastAsia" w:ascii="宋体" w:hAnsi="宋体" w:cs="宋体"/>
                <w:bCs/>
                <w:sz w:val="24"/>
              </w:rPr>
            </w:pPr>
            <w:r>
              <w:rPr>
                <w:rFonts w:hint="eastAsia" w:ascii="宋体" w:hAnsi="宋体" w:cs="宋体"/>
                <w:bCs/>
                <w:sz w:val="24"/>
              </w:rPr>
              <w:t xml:space="preserve">企业名称（盖章）： </w:t>
            </w:r>
          </w:p>
          <w:p w14:paraId="1D320A32">
            <w:pPr>
              <w:tabs>
                <w:tab w:val="left" w:pos="426"/>
              </w:tabs>
              <w:spacing w:line="360" w:lineRule="auto"/>
              <w:ind w:firstLine="5520" w:firstLineChars="2300"/>
              <w:rPr>
                <w:rFonts w:hint="eastAsia" w:ascii="宋体" w:hAnsi="宋体" w:cs="宋体"/>
                <w:bCs/>
                <w:sz w:val="24"/>
              </w:rPr>
            </w:pPr>
            <w:r>
              <w:rPr>
                <w:rFonts w:hint="eastAsia" w:ascii="宋体" w:hAnsi="宋体" w:cs="宋体"/>
                <w:bCs/>
                <w:sz w:val="24"/>
              </w:rPr>
              <w:t>日 期：</w:t>
            </w:r>
          </w:p>
          <w:p w14:paraId="23BDE660">
            <w:pPr>
              <w:pStyle w:val="6"/>
              <w:spacing w:after="0" w:line="360" w:lineRule="auto"/>
              <w:rPr>
                <w:rFonts w:hint="eastAsia" w:ascii="宋体" w:hAnsi="宋体" w:cs="宋体"/>
                <w:sz w:val="24"/>
              </w:rPr>
            </w:pPr>
            <w:r>
              <w:rPr>
                <w:rFonts w:hint="eastAsia" w:ascii="宋体" w:hAnsi="宋体" w:cs="宋体"/>
                <w:sz w:val="24"/>
              </w:rPr>
              <w:t>注：①从业人员、营业收入、资产总额填报上一年度数据，无上一年度数据的新成立企业可不填报。</w:t>
            </w:r>
          </w:p>
          <w:p w14:paraId="473BABEB">
            <w:pPr>
              <w:pStyle w:val="6"/>
              <w:spacing w:after="0" w:line="360" w:lineRule="auto"/>
              <w:rPr>
                <w:rFonts w:hint="eastAsia" w:ascii="宋体" w:hAnsi="宋体" w:cs="宋体"/>
                <w:sz w:val="24"/>
              </w:rPr>
            </w:pPr>
            <w:r>
              <w:rPr>
                <w:rFonts w:hint="eastAsia" w:ascii="宋体" w:hAnsi="宋体" w:cs="宋体"/>
                <w:sz w:val="24"/>
              </w:rPr>
              <w:t>②上述“企业名称（盖章）”指投标人。</w:t>
            </w:r>
          </w:p>
          <w:p w14:paraId="573F354E">
            <w:pPr>
              <w:pStyle w:val="6"/>
              <w:spacing w:after="0" w:line="360" w:lineRule="auto"/>
              <w:rPr>
                <w:rFonts w:hint="eastAsia" w:ascii="宋体" w:hAnsi="宋体" w:cs="宋体"/>
                <w:sz w:val="24"/>
              </w:rPr>
            </w:pPr>
          </w:p>
          <w:p w14:paraId="2EECD07F">
            <w:pPr>
              <w:spacing w:line="360" w:lineRule="auto"/>
              <w:ind w:firstLine="482" w:firstLineChars="200"/>
              <w:rPr>
                <w:rFonts w:hint="eastAsia" w:ascii="宋体" w:hAnsi="宋体" w:cs="宋体"/>
                <w:sz w:val="24"/>
                <w:u w:val="single"/>
              </w:rPr>
            </w:pPr>
            <w:r>
              <w:rPr>
                <w:rFonts w:hint="eastAsia" w:ascii="宋体" w:hAnsi="宋体" w:cs="宋体"/>
                <w:b/>
                <w:kern w:val="0"/>
                <w:sz w:val="24"/>
                <w:lang w:bidi="en-US"/>
              </w:rPr>
              <w:t>（2）</w:t>
            </w:r>
            <w:r>
              <w:rPr>
                <w:rFonts w:hint="eastAsia" w:ascii="宋体" w:hAnsi="宋体" w:cs="宋体"/>
                <w:b/>
                <w:sz w:val="24"/>
              </w:rPr>
              <w:t>根据财政部、司法部关于政府采购支持监狱企业发展有关问题的通知（财库[2014]68号），监狱企业视同小型、微型企业，享受小型、微型企业评审中价格扣除的政府采购政策；</w:t>
            </w:r>
          </w:p>
          <w:p w14:paraId="4E0765D6">
            <w:pPr>
              <w:spacing w:line="360" w:lineRule="auto"/>
              <w:jc w:val="center"/>
              <w:rPr>
                <w:rFonts w:hint="eastAsia" w:ascii="宋体" w:hAnsi="宋体" w:cs="宋体"/>
                <w:b/>
                <w:spacing w:val="6"/>
                <w:sz w:val="24"/>
              </w:rPr>
            </w:pPr>
            <w:r>
              <w:rPr>
                <w:rFonts w:hint="eastAsia" w:ascii="宋体" w:hAnsi="宋体" w:cs="宋体"/>
                <w:b/>
                <w:spacing w:val="6"/>
                <w:sz w:val="24"/>
              </w:rPr>
              <w:t>监狱企业证明文件</w:t>
            </w:r>
          </w:p>
          <w:p w14:paraId="0CDAAA72">
            <w:pPr>
              <w:spacing w:line="360" w:lineRule="auto"/>
              <w:ind w:firstLine="480" w:firstLineChars="200"/>
              <w:jc w:val="left"/>
              <w:rPr>
                <w:rFonts w:hint="eastAsia" w:ascii="宋体" w:hAnsi="宋体" w:cs="宋体"/>
                <w:sz w:val="24"/>
              </w:rPr>
            </w:pPr>
            <w:r>
              <w:rPr>
                <w:rFonts w:hint="eastAsia" w:ascii="宋体" w:hAnsi="宋体" w:cs="宋体"/>
                <w:sz w:val="24"/>
              </w:rPr>
              <w:t>根据《财政部 司法部关于政府采购支持监狱企业发展有关问题的通知》（财库〔2014〕68号）的规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BC999E0">
            <w:pPr>
              <w:spacing w:line="360" w:lineRule="auto"/>
              <w:ind w:firstLine="360" w:firstLineChars="150"/>
              <w:jc w:val="left"/>
              <w:rPr>
                <w:rFonts w:hint="eastAsia" w:ascii="宋体" w:hAnsi="宋体" w:cs="宋体"/>
                <w:sz w:val="24"/>
              </w:rPr>
            </w:pPr>
            <w:r>
              <w:rPr>
                <w:rFonts w:hint="eastAsia" w:ascii="宋体" w:hAnsi="宋体" w:cs="宋体"/>
                <w:sz w:val="24"/>
                <w:u w:val="single"/>
              </w:rPr>
              <w:t>监狱企业参加政府采购活动时，应当提供由省级以上监狱管理局、戒毒管理局（含新疆生产建设兵团）出具的属于监狱企业的证明文件。</w:t>
            </w:r>
          </w:p>
          <w:p w14:paraId="402104A3">
            <w:pPr>
              <w:spacing w:line="360" w:lineRule="auto"/>
              <w:jc w:val="center"/>
              <w:rPr>
                <w:rFonts w:hint="eastAsia" w:ascii="宋体" w:hAnsi="宋体" w:cs="宋体"/>
                <w:sz w:val="24"/>
              </w:rPr>
            </w:pPr>
            <w:r>
              <w:rPr>
                <w:rFonts w:hint="eastAsia" w:ascii="宋体" w:hAnsi="宋体" w:cs="宋体"/>
                <w:spacing w:val="6"/>
                <w:sz w:val="24"/>
              </w:rPr>
              <w:t>（注：不属于的无需提供）</w:t>
            </w:r>
          </w:p>
          <w:p w14:paraId="4DBBA806">
            <w:pPr>
              <w:spacing w:line="360" w:lineRule="auto"/>
              <w:ind w:firstLine="472" w:firstLineChars="196"/>
              <w:rPr>
                <w:rFonts w:hint="eastAsia" w:ascii="宋体" w:hAnsi="宋体" w:cs="宋体"/>
                <w:b/>
                <w:kern w:val="0"/>
                <w:sz w:val="24"/>
                <w:lang w:bidi="en-US"/>
              </w:rPr>
            </w:pPr>
          </w:p>
          <w:p w14:paraId="3329BA9C">
            <w:pPr>
              <w:spacing w:line="360" w:lineRule="auto"/>
              <w:ind w:firstLine="472" w:firstLineChars="196"/>
              <w:rPr>
                <w:rFonts w:hint="eastAsia" w:ascii="宋体" w:hAnsi="宋体" w:cs="宋体"/>
                <w:b/>
                <w:bCs/>
                <w:sz w:val="24"/>
              </w:rPr>
            </w:pPr>
            <w:r>
              <w:rPr>
                <w:rFonts w:hint="eastAsia" w:ascii="宋体" w:hAnsi="宋体" w:cs="宋体"/>
                <w:b/>
                <w:kern w:val="0"/>
                <w:sz w:val="24"/>
                <w:lang w:bidi="en-US"/>
              </w:rPr>
              <w:t>（3）</w:t>
            </w:r>
            <w:r>
              <w:rPr>
                <w:rFonts w:hint="eastAsia" w:ascii="宋体" w:hAnsi="宋体" w:cs="宋体"/>
                <w:b/>
                <w:bCs/>
                <w:sz w:val="24"/>
              </w:rPr>
              <w:t>根据《三部门联合发布关于促进残疾人就业政府采购政策的通知》（财库〔2017〕141号）残疾人福利性单位视同小型、微型企业，享受预留份额、评审中价格扣除等促进中小企业发展的政府采购政策。</w:t>
            </w:r>
          </w:p>
          <w:p w14:paraId="62E8B0A3">
            <w:pPr>
              <w:spacing w:line="360" w:lineRule="auto"/>
              <w:jc w:val="center"/>
              <w:rPr>
                <w:rFonts w:hint="eastAsia" w:ascii="宋体" w:hAnsi="宋体" w:cs="宋体"/>
                <w:b/>
                <w:spacing w:val="6"/>
                <w:sz w:val="24"/>
              </w:rPr>
            </w:pPr>
            <w:r>
              <w:rPr>
                <w:rFonts w:hint="eastAsia" w:ascii="宋体" w:hAnsi="宋体" w:cs="宋体"/>
                <w:b/>
                <w:spacing w:val="6"/>
                <w:sz w:val="24"/>
              </w:rPr>
              <w:t>残疾人福利性单位声明函</w:t>
            </w:r>
          </w:p>
          <w:p w14:paraId="13CD3F60">
            <w:pPr>
              <w:spacing w:line="360" w:lineRule="auto"/>
              <w:ind w:firstLine="470" w:firstLineChars="196"/>
              <w:rPr>
                <w:rFonts w:hint="eastAsia" w:ascii="宋体" w:hAnsi="宋体" w:cs="宋体"/>
                <w:bCs/>
                <w:sz w:val="24"/>
              </w:rPr>
            </w:pPr>
            <w:r>
              <w:rPr>
                <w:rFonts w:hint="eastAsia" w:ascii="宋体" w:hAnsi="宋体" w:cs="宋体"/>
                <w:bCs/>
                <w:sz w:val="24"/>
              </w:rPr>
              <w:t>本单位郑重声明，根据《财政部民政部中国残疾人联合会关于促进残疾人就业政府采购政策的通知》（财库〔2017〕141号）的规定，本单位为符合条件的残疾人福利性单位，且本单位参加</w:t>
            </w:r>
            <w:r>
              <w:rPr>
                <w:rFonts w:hint="eastAsia" w:ascii="宋体" w:hAnsi="宋体" w:cs="宋体"/>
                <w:bCs/>
                <w:sz w:val="24"/>
                <w:u w:val="single"/>
              </w:rPr>
              <w:t xml:space="preserve">   （采购人名称）</w:t>
            </w:r>
            <w:r>
              <w:rPr>
                <w:rFonts w:hint="eastAsia" w:ascii="宋体" w:hAnsi="宋体" w:cs="宋体"/>
                <w:bCs/>
                <w:sz w:val="24"/>
              </w:rPr>
              <w:t>单位的</w:t>
            </w:r>
            <w:r>
              <w:rPr>
                <w:rFonts w:hint="eastAsia" w:ascii="宋体" w:hAnsi="宋体" w:cs="宋体"/>
                <w:bCs/>
                <w:sz w:val="24"/>
                <w:u w:val="single"/>
              </w:rPr>
              <w:t xml:space="preserve">     （项目名称）</w:t>
            </w:r>
            <w:r>
              <w:rPr>
                <w:rFonts w:hint="eastAsia" w:ascii="宋体" w:hAnsi="宋体" w:cs="宋体"/>
                <w:bCs/>
                <w:sz w:val="24"/>
              </w:rPr>
              <w:t>项目采购活动提供本单位制造的货物（由本单位承担工程/提供服务），或者提供其他残疾人福利性单位制造的货物（不包括使用非残疾人福利性单位注册商标的货物）。</w:t>
            </w:r>
          </w:p>
          <w:p w14:paraId="4404F767">
            <w:pPr>
              <w:spacing w:line="360" w:lineRule="auto"/>
              <w:ind w:firstLine="470" w:firstLineChars="196"/>
              <w:rPr>
                <w:rFonts w:hint="eastAsia" w:ascii="宋体" w:hAnsi="宋体" w:cs="宋体"/>
                <w:bCs/>
                <w:sz w:val="24"/>
              </w:rPr>
            </w:pPr>
            <w:r>
              <w:rPr>
                <w:rFonts w:hint="eastAsia" w:ascii="宋体" w:hAnsi="宋体" w:cs="宋体"/>
                <w:bCs/>
                <w:sz w:val="24"/>
              </w:rPr>
              <w:t>本单位对上述声明的真实性负责。如有虚假，将依法承担相应责任。</w:t>
            </w:r>
          </w:p>
          <w:p w14:paraId="0D9406BC">
            <w:pPr>
              <w:spacing w:line="360" w:lineRule="auto"/>
              <w:ind w:firstLine="480" w:firstLineChars="200"/>
              <w:rPr>
                <w:rFonts w:hint="eastAsia" w:ascii="宋体" w:hAnsi="宋体" w:cs="宋体"/>
                <w:bCs/>
                <w:sz w:val="24"/>
              </w:rPr>
            </w:pPr>
            <w:r>
              <w:rPr>
                <w:rFonts w:hint="eastAsia" w:ascii="宋体" w:hAnsi="宋体" w:cs="宋体"/>
                <w:bCs/>
                <w:sz w:val="24"/>
              </w:rPr>
              <w:t xml:space="preserve">单位名称（盖章）： </w:t>
            </w:r>
          </w:p>
          <w:p w14:paraId="02D30562">
            <w:pPr>
              <w:spacing w:line="360" w:lineRule="auto"/>
              <w:ind w:firstLine="480" w:firstLineChars="200"/>
              <w:rPr>
                <w:rFonts w:hint="eastAsia" w:ascii="宋体" w:hAnsi="宋体" w:cs="宋体"/>
                <w:bCs/>
                <w:sz w:val="24"/>
              </w:rPr>
            </w:pPr>
            <w:r>
              <w:rPr>
                <w:rFonts w:hint="eastAsia" w:ascii="宋体" w:hAnsi="宋体" w:cs="宋体"/>
                <w:bCs/>
                <w:sz w:val="24"/>
              </w:rPr>
              <w:t>日  期：</w:t>
            </w:r>
          </w:p>
          <w:p w14:paraId="74824515">
            <w:pPr>
              <w:pStyle w:val="6"/>
              <w:spacing w:after="0" w:line="360" w:lineRule="auto"/>
              <w:rPr>
                <w:rFonts w:hint="eastAsia" w:ascii="宋体" w:hAnsi="宋体" w:cs="宋体"/>
                <w:b/>
                <w:bCs/>
                <w:sz w:val="24"/>
              </w:rPr>
            </w:pPr>
            <w:r>
              <w:rPr>
                <w:rFonts w:hint="eastAsia" w:ascii="宋体" w:hAnsi="宋体" w:cs="宋体"/>
                <w:b/>
                <w:bCs/>
                <w:sz w:val="24"/>
              </w:rPr>
              <w:t xml:space="preserve">   注：</w:t>
            </w:r>
            <w:r>
              <w:rPr>
                <w:rFonts w:hint="eastAsia" w:ascii="宋体" w:hAnsi="宋体" w:cs="宋体"/>
                <w:b/>
                <w:bCs/>
                <w:sz w:val="24"/>
              </w:rPr>
              <w:fldChar w:fldCharType="begin"/>
            </w:r>
            <w:r>
              <w:rPr>
                <w:rFonts w:hint="eastAsia" w:ascii="宋体" w:hAnsi="宋体" w:cs="宋体"/>
                <w:b/>
                <w:bCs/>
                <w:sz w:val="24"/>
              </w:rPr>
              <w:instrText xml:space="preserve"> = 1 \* GB3 </w:instrText>
            </w:r>
            <w:r>
              <w:rPr>
                <w:rFonts w:hint="eastAsia" w:ascii="宋体" w:hAnsi="宋体" w:cs="宋体"/>
                <w:b/>
                <w:bCs/>
                <w:sz w:val="24"/>
              </w:rPr>
              <w:fldChar w:fldCharType="separate"/>
            </w:r>
            <w:r>
              <w:rPr>
                <w:rFonts w:hint="eastAsia" w:ascii="宋体" w:hAnsi="宋体" w:cs="宋体"/>
                <w:b/>
                <w:bCs/>
                <w:sz w:val="24"/>
              </w:rPr>
              <w:t>①</w:t>
            </w:r>
            <w:r>
              <w:rPr>
                <w:rFonts w:hint="eastAsia" w:ascii="宋体" w:hAnsi="宋体" w:cs="宋体"/>
                <w:b/>
                <w:bCs/>
                <w:sz w:val="24"/>
              </w:rPr>
              <w:fldChar w:fldCharType="end"/>
            </w:r>
            <w:r>
              <w:rPr>
                <w:rFonts w:hint="eastAsia" w:ascii="宋体" w:hAnsi="宋体" w:cs="宋体"/>
                <w:b/>
                <w:bCs/>
                <w:sz w:val="24"/>
              </w:rPr>
              <w:t>小型、微型企业、监狱企业、残疾人福利性单位，不重复享受评审中价格扣除的政府采购政策。</w:t>
            </w:r>
            <w:r>
              <w:rPr>
                <w:rFonts w:hint="eastAsia" w:ascii="宋体" w:hAnsi="宋体" w:cs="宋体"/>
                <w:b/>
                <w:bCs/>
                <w:sz w:val="24"/>
              </w:rPr>
              <w:fldChar w:fldCharType="begin"/>
            </w:r>
            <w:r>
              <w:rPr>
                <w:rFonts w:hint="eastAsia" w:ascii="宋体" w:hAnsi="宋体" w:cs="宋体"/>
                <w:b/>
                <w:bCs/>
                <w:sz w:val="24"/>
              </w:rPr>
              <w:instrText xml:space="preserve"> = 2 \* GB3 </w:instrText>
            </w:r>
            <w:r>
              <w:rPr>
                <w:rFonts w:hint="eastAsia" w:ascii="宋体" w:hAnsi="宋体" w:cs="宋体"/>
                <w:b/>
                <w:bCs/>
                <w:sz w:val="24"/>
              </w:rPr>
              <w:fldChar w:fldCharType="separate"/>
            </w:r>
            <w:r>
              <w:rPr>
                <w:rFonts w:hint="eastAsia" w:ascii="宋体" w:hAnsi="宋体" w:cs="宋体"/>
                <w:b/>
                <w:bCs/>
                <w:sz w:val="24"/>
              </w:rPr>
              <w:t>②</w:t>
            </w:r>
            <w:r>
              <w:rPr>
                <w:rFonts w:hint="eastAsia" w:ascii="宋体" w:hAnsi="宋体" w:cs="宋体"/>
                <w:b/>
                <w:bCs/>
                <w:sz w:val="24"/>
              </w:rPr>
              <w:fldChar w:fldCharType="end"/>
            </w:r>
            <w:r>
              <w:rPr>
                <w:rFonts w:hint="eastAsia" w:ascii="宋体" w:hAnsi="宋体" w:cs="宋体"/>
                <w:b/>
                <w:bCs/>
                <w:sz w:val="24"/>
              </w:rPr>
              <w:t>中标单位为小微型企业或监狱企业或残疾人福利性单位的，其声明函将随中标结果同时公告，接受社会监督。投标人提供的声明函内容不实的，属于提供虚假材料谋取中标、成交，依照《中华人民 共和国政府采购法》等国家有关规定追究相应责任。</w:t>
            </w:r>
          </w:p>
          <w:p w14:paraId="44A13795">
            <w:pPr>
              <w:pStyle w:val="6"/>
              <w:spacing w:after="0" w:line="360" w:lineRule="auto"/>
              <w:rPr>
                <w:rFonts w:hint="eastAsia" w:ascii="宋体" w:hAnsi="宋体" w:cs="宋体"/>
                <w:b/>
                <w:bCs/>
                <w:sz w:val="24"/>
              </w:rPr>
            </w:pPr>
          </w:p>
          <w:p w14:paraId="77DE30C2">
            <w:pPr>
              <w:pStyle w:val="6"/>
              <w:spacing w:after="0" w:line="360" w:lineRule="auto"/>
              <w:rPr>
                <w:rFonts w:hint="eastAsia" w:ascii="宋体" w:hAnsi="宋体" w:cs="宋体"/>
                <w:b/>
                <w:bCs/>
                <w:sz w:val="24"/>
              </w:rPr>
            </w:pPr>
            <w:r>
              <w:rPr>
                <w:rFonts w:hint="eastAsia" w:ascii="宋体" w:hAnsi="宋体" w:cs="宋体"/>
                <w:b/>
                <w:bCs/>
                <w:sz w:val="24"/>
              </w:rPr>
              <w:t>二、</w:t>
            </w:r>
            <w:r>
              <w:rPr>
                <w:rFonts w:hint="eastAsia" w:ascii="宋体" w:hAnsi="宋体"/>
                <w:b/>
                <w:color w:val="000000" w:themeColor="text1"/>
                <w:sz w:val="24"/>
                <w14:textFill>
                  <w14:solidFill>
                    <w14:schemeClr w14:val="tx1"/>
                  </w14:solidFill>
                </w14:textFill>
              </w:rPr>
              <w:t>节能、环境标志产品扶持政策</w:t>
            </w:r>
          </w:p>
          <w:p w14:paraId="22017651">
            <w:pPr>
              <w:pStyle w:val="6"/>
              <w:spacing w:after="0" w:line="360" w:lineRule="auto"/>
              <w:ind w:firstLine="482" w:firstLineChars="200"/>
              <w:rPr>
                <w:rFonts w:hint="eastAsia" w:ascii="宋体" w:hAnsi="宋体" w:cs="宋体"/>
                <w:b/>
                <w:bCs/>
                <w:sz w:val="24"/>
              </w:rPr>
            </w:pPr>
            <w:r>
              <w:rPr>
                <w:rFonts w:hint="eastAsia" w:ascii="宋体" w:hAnsi="宋体" w:cs="宋体"/>
                <w:b/>
                <w:bCs/>
                <w:sz w:val="24"/>
              </w:rPr>
              <w:t>在技术、服务等指标同等条件下，优先采购节能清单所列的节能产品、环境标志产品。</w:t>
            </w:r>
          </w:p>
          <w:p w14:paraId="2D24D45F">
            <w:pPr>
              <w:tabs>
                <w:tab w:val="left" w:pos="105"/>
                <w:tab w:val="left" w:pos="945"/>
                <w:tab w:val="left" w:pos="3360"/>
              </w:tabs>
              <w:snapToGrid w:val="0"/>
              <w:spacing w:line="360" w:lineRule="auto"/>
              <w:ind w:firstLine="420"/>
              <w:rPr>
                <w:rFonts w:hint="eastAsia" w:ascii="宋体" w:hAnsi="宋体" w:cs="宋体"/>
                <w:color w:val="000000" w:themeColor="text1"/>
                <w:sz w:val="24"/>
                <w14:textFill>
                  <w14:solidFill>
                    <w14:schemeClr w14:val="tx1"/>
                  </w14:solidFill>
                </w14:textFill>
              </w:rPr>
            </w:pPr>
            <w:r>
              <w:rPr>
                <w:rFonts w:hint="eastAsia" w:ascii="宋体" w:hAnsi="宋体" w:cs="宋体"/>
                <w:b/>
                <w:bCs/>
                <w:sz w:val="24"/>
              </w:rPr>
              <w:t xml:space="preserve"> </w:t>
            </w:r>
            <w:r>
              <w:rPr>
                <w:rFonts w:hint="eastAsia" w:ascii="宋体" w:hAnsi="宋体" w:cs="宋体"/>
                <w:color w:val="000000" w:themeColor="text1"/>
                <w:sz w:val="24"/>
                <w14:textFill>
                  <w14:solidFill>
                    <w14:schemeClr w14:val="tx1"/>
                  </w14:solidFill>
                </w14:textFill>
              </w:rPr>
              <w:t>2.1节能产品是指列入财政部和国家发改委公布的《节能产品政府采购品目清单》中的货物。政府强制采购节能产品是指《节能产品政府采购品目清单》中以“★”标注类别的产品。</w:t>
            </w:r>
          </w:p>
          <w:p w14:paraId="78F41D45">
            <w:pPr>
              <w:tabs>
                <w:tab w:val="left" w:pos="105"/>
                <w:tab w:val="left" w:pos="945"/>
                <w:tab w:val="left" w:pos="3360"/>
              </w:tabs>
              <w:snapToGrid w:val="0"/>
              <w:spacing w:line="360" w:lineRule="auto"/>
              <w:ind w:firstLine="42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2.2环境标志产品是指列入财政部、生态环境部公布的《环境标志产品政府采购品目清单》中的货物。</w:t>
            </w:r>
          </w:p>
          <w:p w14:paraId="4813DB53">
            <w:pPr>
              <w:tabs>
                <w:tab w:val="left" w:pos="105"/>
                <w:tab w:val="left" w:pos="945"/>
                <w:tab w:val="left" w:pos="3360"/>
              </w:tabs>
              <w:snapToGrid w:val="0"/>
              <w:spacing w:line="360" w:lineRule="auto"/>
              <w:ind w:firstLine="42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★2.3本项目采购清单中若有政府强制采购节能产品，只接受强制节能产品投标，投标人必须选报，否则按不实质性响应招标文件要求处理。</w:t>
            </w:r>
          </w:p>
          <w:p w14:paraId="3CD1D159">
            <w:pPr>
              <w:tabs>
                <w:tab w:val="left" w:pos="105"/>
                <w:tab w:val="left" w:pos="945"/>
                <w:tab w:val="left" w:pos="3360"/>
              </w:tabs>
              <w:snapToGrid w:val="0"/>
              <w:spacing w:line="360" w:lineRule="auto"/>
              <w:ind w:firstLine="42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2.4投标人应在投标文件中提供所投标产品国家确定的认证机构出具的、处于有效期之内的节能产品、环境标志产品认证证书，否则不予认可。</w:t>
            </w:r>
          </w:p>
          <w:p w14:paraId="58592723">
            <w:pPr>
              <w:tabs>
                <w:tab w:val="left" w:pos="105"/>
                <w:tab w:val="left" w:pos="945"/>
                <w:tab w:val="left" w:pos="3360"/>
              </w:tabs>
              <w:snapToGrid w:val="0"/>
              <w:spacing w:line="360" w:lineRule="auto"/>
              <w:ind w:firstLine="42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2.5《节能产品政府采购品目清单》及《环境标志产品政府采购品目清单》可通过中国政府采购网（http://www.ccgp.gov.cn/ ）查阅、下载。 </w:t>
            </w:r>
          </w:p>
          <w:p w14:paraId="6F3F4174">
            <w:pPr>
              <w:tabs>
                <w:tab w:val="left" w:pos="105"/>
                <w:tab w:val="left" w:pos="945"/>
                <w:tab w:val="left" w:pos="3360"/>
              </w:tabs>
              <w:snapToGrid w:val="0"/>
              <w:spacing w:line="360" w:lineRule="auto"/>
              <w:ind w:firstLine="420"/>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2.6参与实施政府采购节能产品认证机构名录：</w:t>
            </w:r>
          </w:p>
          <w:tbl>
            <w:tblPr>
              <w:tblStyle w:val="23"/>
              <w:tblW w:w="8998" w:type="dxa"/>
              <w:jc w:val="center"/>
              <w:shd w:val="clear" w:color="auto" w:fill="FFFFFF"/>
              <w:tblLayout w:type="fixed"/>
              <w:tblCellMar>
                <w:top w:w="30" w:type="dxa"/>
                <w:left w:w="30" w:type="dxa"/>
                <w:bottom w:w="30" w:type="dxa"/>
                <w:right w:w="30" w:type="dxa"/>
              </w:tblCellMar>
            </w:tblPr>
            <w:tblGrid>
              <w:gridCol w:w="586"/>
              <w:gridCol w:w="1065"/>
              <w:gridCol w:w="1316"/>
              <w:gridCol w:w="1117"/>
              <w:gridCol w:w="1732"/>
              <w:gridCol w:w="3182"/>
            </w:tblGrid>
            <w:tr w14:paraId="647721F4">
              <w:tblPrEx>
                <w:shd w:val="clear" w:color="auto" w:fill="FFFFFF"/>
                <w:tblCellMar>
                  <w:top w:w="30" w:type="dxa"/>
                  <w:left w:w="30" w:type="dxa"/>
                  <w:bottom w:w="30" w:type="dxa"/>
                  <w:right w:w="30" w:type="dxa"/>
                </w:tblCellMar>
              </w:tblPrEx>
              <w:trPr>
                <w:trHeight w:val="346" w:hRule="atLeast"/>
                <w:jc w:val="center"/>
              </w:trPr>
              <w:tc>
                <w:tcPr>
                  <w:tcW w:w="586" w:type="dxa"/>
                  <w:vMerge w:val="restar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8BEF3E0">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序号</w:t>
                  </w:r>
                </w:p>
              </w:tc>
              <w:tc>
                <w:tcPr>
                  <w:tcW w:w="2381" w:type="dxa"/>
                  <w:gridSpan w:val="2"/>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09ED895">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一级目录</w:t>
                  </w:r>
                </w:p>
              </w:tc>
              <w:tc>
                <w:tcPr>
                  <w:tcW w:w="2849" w:type="dxa"/>
                  <w:gridSpan w:val="2"/>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8E7776F">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二级目录</w:t>
                  </w:r>
                </w:p>
              </w:tc>
              <w:tc>
                <w:tcPr>
                  <w:tcW w:w="3182" w:type="dxa"/>
                  <w:vMerge w:val="restart"/>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DDDD15">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认证机构名录</w:t>
                  </w:r>
                </w:p>
              </w:tc>
            </w:tr>
            <w:tr w14:paraId="259CF4C7">
              <w:tblPrEx>
                <w:tblCellMar>
                  <w:top w:w="30" w:type="dxa"/>
                  <w:left w:w="30" w:type="dxa"/>
                  <w:bottom w:w="30" w:type="dxa"/>
                  <w:right w:w="30" w:type="dxa"/>
                </w:tblCellMar>
              </w:tblPrEx>
              <w:trPr>
                <w:trHeight w:val="346" w:hRule="atLeast"/>
                <w:jc w:val="center"/>
              </w:trPr>
              <w:tc>
                <w:tcPr>
                  <w:tcW w:w="586" w:type="dxa"/>
                  <w:vMerge w:val="continue"/>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495E77BD">
                  <w:pPr>
                    <w:widowControl/>
                    <w:spacing w:line="360" w:lineRule="auto"/>
                    <w:jc w:val="center"/>
                    <w:rPr>
                      <w:rFonts w:hint="eastAsia" w:ascii="宋体" w:hAnsi="宋体" w:cs="宋体"/>
                      <w:kern w:val="0"/>
                      <w:szCs w:val="21"/>
                    </w:rPr>
                  </w:pP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8246F4B">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产品代码</w:t>
                  </w:r>
                </w:p>
              </w:tc>
              <w:tc>
                <w:tcPr>
                  <w:tcW w:w="131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8CE5DB9">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产品名称</w:t>
                  </w:r>
                </w:p>
              </w:tc>
              <w:tc>
                <w:tcPr>
                  <w:tcW w:w="11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FEE5500">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产品代码</w:t>
                  </w:r>
                </w:p>
              </w:tc>
              <w:tc>
                <w:tcPr>
                  <w:tcW w:w="17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53FD630">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产品名称</w:t>
                  </w:r>
                </w:p>
              </w:tc>
              <w:tc>
                <w:tcPr>
                  <w:tcW w:w="3182" w:type="dxa"/>
                  <w:vMerge w:val="continue"/>
                  <w:tcBorders>
                    <w:top w:val="single" w:color="auto" w:sz="8" w:space="0"/>
                    <w:left w:val="nil"/>
                    <w:bottom w:val="single" w:color="auto" w:sz="8" w:space="0"/>
                    <w:right w:val="single" w:color="auto" w:sz="8" w:space="0"/>
                  </w:tcBorders>
                  <w:shd w:val="clear" w:color="auto" w:fill="FFFFFF"/>
                  <w:tcMar>
                    <w:top w:w="0" w:type="dxa"/>
                    <w:left w:w="0" w:type="dxa"/>
                    <w:bottom w:w="0" w:type="dxa"/>
                    <w:right w:w="0" w:type="dxa"/>
                  </w:tcMar>
                  <w:vAlign w:val="center"/>
                </w:tcPr>
                <w:p w14:paraId="0D08CC94">
                  <w:pPr>
                    <w:widowControl/>
                    <w:spacing w:line="360" w:lineRule="auto"/>
                    <w:jc w:val="center"/>
                    <w:rPr>
                      <w:rFonts w:hint="eastAsia" w:ascii="宋体" w:hAnsi="宋体" w:cs="宋体"/>
                      <w:kern w:val="0"/>
                      <w:szCs w:val="21"/>
                    </w:rPr>
                  </w:pPr>
                </w:p>
              </w:tc>
            </w:tr>
            <w:tr w14:paraId="2F8EB993">
              <w:tblPrEx>
                <w:shd w:val="clear" w:color="auto" w:fill="FFFFFF"/>
                <w:tblCellMar>
                  <w:top w:w="30" w:type="dxa"/>
                  <w:left w:w="30" w:type="dxa"/>
                  <w:bottom w:w="30" w:type="dxa"/>
                  <w:right w:w="30" w:type="dxa"/>
                </w:tblCellMar>
              </w:tblPrEx>
              <w:trPr>
                <w:trHeight w:val="346" w:hRule="atLeast"/>
                <w:jc w:val="center"/>
              </w:trPr>
              <w:tc>
                <w:tcPr>
                  <w:tcW w:w="586" w:type="dxa"/>
                  <w:vMerge w:val="restar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16733D0">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1</w:t>
                  </w:r>
                </w:p>
              </w:tc>
              <w:tc>
                <w:tcPr>
                  <w:tcW w:w="1065"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3B6AE9">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A020101</w:t>
                  </w:r>
                </w:p>
              </w:tc>
              <w:tc>
                <w:tcPr>
                  <w:tcW w:w="1316"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58136E6">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计算机设备</w:t>
                  </w:r>
                </w:p>
              </w:tc>
              <w:tc>
                <w:tcPr>
                  <w:tcW w:w="11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923EF9F">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A02010104</w:t>
                  </w:r>
                </w:p>
              </w:tc>
              <w:tc>
                <w:tcPr>
                  <w:tcW w:w="17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AC66F9">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台式计算机</w:t>
                  </w:r>
                </w:p>
              </w:tc>
              <w:tc>
                <w:tcPr>
                  <w:tcW w:w="3182"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F751DA">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中国质量认证中心</w:t>
                  </w:r>
                </w:p>
                <w:p w14:paraId="4D0BC12E">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北京赛西认证有限责任公司</w:t>
                  </w:r>
                </w:p>
                <w:p w14:paraId="56FEE943">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中国网络安全审查技术与认证中心</w:t>
                  </w:r>
                </w:p>
                <w:p w14:paraId="0C478A3B">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广州赛宝认证中心服务有限公司</w:t>
                  </w:r>
                </w:p>
              </w:tc>
            </w:tr>
            <w:tr w14:paraId="1AD96B87">
              <w:tblPrEx>
                <w:tblCellMar>
                  <w:top w:w="30" w:type="dxa"/>
                  <w:left w:w="30" w:type="dxa"/>
                  <w:bottom w:w="30" w:type="dxa"/>
                  <w:right w:w="30" w:type="dxa"/>
                </w:tblCellMar>
              </w:tblPrEx>
              <w:trPr>
                <w:trHeight w:val="346" w:hRule="atLeast"/>
                <w:jc w:val="center"/>
              </w:trPr>
              <w:tc>
                <w:tcPr>
                  <w:tcW w:w="586"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11720277">
                  <w:pPr>
                    <w:widowControl/>
                    <w:spacing w:line="360" w:lineRule="auto"/>
                    <w:jc w:val="center"/>
                    <w:rPr>
                      <w:rFonts w:hint="eastAsia" w:ascii="宋体" w:hAnsi="宋体" w:cs="宋体"/>
                      <w:kern w:val="0"/>
                      <w:szCs w:val="21"/>
                    </w:rPr>
                  </w:pPr>
                </w:p>
              </w:tc>
              <w:tc>
                <w:tcPr>
                  <w:tcW w:w="1065"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5DD53C56">
                  <w:pPr>
                    <w:widowControl/>
                    <w:spacing w:line="360" w:lineRule="auto"/>
                    <w:jc w:val="center"/>
                    <w:rPr>
                      <w:rFonts w:hint="eastAsia" w:ascii="宋体" w:hAnsi="宋体" w:cs="宋体"/>
                      <w:kern w:val="0"/>
                      <w:szCs w:val="21"/>
                    </w:rPr>
                  </w:pPr>
                </w:p>
              </w:tc>
              <w:tc>
                <w:tcPr>
                  <w:tcW w:w="131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5878966B">
                  <w:pPr>
                    <w:widowControl/>
                    <w:spacing w:line="360" w:lineRule="auto"/>
                    <w:jc w:val="center"/>
                    <w:rPr>
                      <w:rFonts w:hint="eastAsia" w:ascii="宋体" w:hAnsi="宋体" w:cs="宋体"/>
                      <w:kern w:val="0"/>
                      <w:szCs w:val="21"/>
                    </w:rPr>
                  </w:pPr>
                </w:p>
              </w:tc>
              <w:tc>
                <w:tcPr>
                  <w:tcW w:w="11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2F6548">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A02010105</w:t>
                  </w:r>
                </w:p>
              </w:tc>
              <w:tc>
                <w:tcPr>
                  <w:tcW w:w="17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64D4FE7">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便携式计算机</w:t>
                  </w:r>
                </w:p>
              </w:tc>
              <w:tc>
                <w:tcPr>
                  <w:tcW w:w="3182"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7EFF1519">
                  <w:pPr>
                    <w:widowControl/>
                    <w:spacing w:line="360" w:lineRule="auto"/>
                    <w:jc w:val="center"/>
                    <w:rPr>
                      <w:rFonts w:hint="eastAsia" w:ascii="宋体" w:hAnsi="宋体" w:cs="宋体"/>
                      <w:kern w:val="0"/>
                      <w:szCs w:val="21"/>
                    </w:rPr>
                  </w:pPr>
                </w:p>
              </w:tc>
            </w:tr>
            <w:tr w14:paraId="6E428CE2">
              <w:tblPrEx>
                <w:shd w:val="clear" w:color="auto" w:fill="FFFFFF"/>
                <w:tblCellMar>
                  <w:top w:w="30" w:type="dxa"/>
                  <w:left w:w="30" w:type="dxa"/>
                  <w:bottom w:w="30" w:type="dxa"/>
                  <w:right w:w="30" w:type="dxa"/>
                </w:tblCellMar>
              </w:tblPrEx>
              <w:trPr>
                <w:trHeight w:val="622" w:hRule="atLeast"/>
                <w:jc w:val="center"/>
              </w:trPr>
              <w:tc>
                <w:tcPr>
                  <w:tcW w:w="586"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1FECEDF">
                  <w:pPr>
                    <w:widowControl/>
                    <w:spacing w:line="360" w:lineRule="auto"/>
                    <w:jc w:val="center"/>
                    <w:rPr>
                      <w:rFonts w:hint="eastAsia" w:ascii="宋体" w:hAnsi="宋体" w:cs="宋体"/>
                      <w:kern w:val="0"/>
                      <w:szCs w:val="21"/>
                    </w:rPr>
                  </w:pPr>
                </w:p>
              </w:tc>
              <w:tc>
                <w:tcPr>
                  <w:tcW w:w="1065"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4752F6A9">
                  <w:pPr>
                    <w:widowControl/>
                    <w:spacing w:line="360" w:lineRule="auto"/>
                    <w:jc w:val="center"/>
                    <w:rPr>
                      <w:rFonts w:hint="eastAsia" w:ascii="宋体" w:hAnsi="宋体" w:cs="宋体"/>
                      <w:kern w:val="0"/>
                      <w:szCs w:val="21"/>
                    </w:rPr>
                  </w:pPr>
                </w:p>
              </w:tc>
              <w:tc>
                <w:tcPr>
                  <w:tcW w:w="131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54CD8D55">
                  <w:pPr>
                    <w:widowControl/>
                    <w:spacing w:line="360" w:lineRule="auto"/>
                    <w:jc w:val="center"/>
                    <w:rPr>
                      <w:rFonts w:hint="eastAsia" w:ascii="宋体" w:hAnsi="宋体" w:cs="宋体"/>
                      <w:kern w:val="0"/>
                      <w:szCs w:val="21"/>
                    </w:rPr>
                  </w:pPr>
                </w:p>
              </w:tc>
              <w:tc>
                <w:tcPr>
                  <w:tcW w:w="11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B3CAD8">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A02010107</w:t>
                  </w:r>
                </w:p>
              </w:tc>
              <w:tc>
                <w:tcPr>
                  <w:tcW w:w="17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879BFEC">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平板式微型计算机</w:t>
                  </w:r>
                </w:p>
              </w:tc>
              <w:tc>
                <w:tcPr>
                  <w:tcW w:w="3182"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01C49987">
                  <w:pPr>
                    <w:widowControl/>
                    <w:spacing w:line="360" w:lineRule="auto"/>
                    <w:jc w:val="center"/>
                    <w:rPr>
                      <w:rFonts w:hint="eastAsia" w:ascii="宋体" w:hAnsi="宋体" w:cs="宋体"/>
                      <w:kern w:val="0"/>
                      <w:szCs w:val="21"/>
                    </w:rPr>
                  </w:pPr>
                </w:p>
              </w:tc>
            </w:tr>
            <w:tr w14:paraId="74C4ADFA">
              <w:tblPrEx>
                <w:tblCellMar>
                  <w:top w:w="30" w:type="dxa"/>
                  <w:left w:w="30" w:type="dxa"/>
                  <w:bottom w:w="30" w:type="dxa"/>
                  <w:right w:w="30" w:type="dxa"/>
                </w:tblCellMar>
              </w:tblPrEx>
              <w:trPr>
                <w:trHeight w:val="346" w:hRule="atLeast"/>
                <w:jc w:val="center"/>
              </w:trPr>
              <w:tc>
                <w:tcPr>
                  <w:tcW w:w="586" w:type="dxa"/>
                  <w:vMerge w:val="restar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A23A6D4">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2</w:t>
                  </w:r>
                </w:p>
              </w:tc>
              <w:tc>
                <w:tcPr>
                  <w:tcW w:w="1065"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4C3CCA3">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A020106</w:t>
                  </w:r>
                </w:p>
              </w:tc>
              <w:tc>
                <w:tcPr>
                  <w:tcW w:w="1316"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68E56D7">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输入输出设备</w:t>
                  </w:r>
                </w:p>
              </w:tc>
              <w:tc>
                <w:tcPr>
                  <w:tcW w:w="11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DA656D7">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A02010601</w:t>
                  </w:r>
                </w:p>
              </w:tc>
              <w:tc>
                <w:tcPr>
                  <w:tcW w:w="17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15E3CB0">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打印设备</w:t>
                  </w:r>
                </w:p>
              </w:tc>
              <w:tc>
                <w:tcPr>
                  <w:tcW w:w="3182"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574B09D2">
                  <w:pPr>
                    <w:widowControl/>
                    <w:spacing w:line="360" w:lineRule="auto"/>
                    <w:jc w:val="center"/>
                    <w:rPr>
                      <w:rFonts w:hint="eastAsia" w:ascii="宋体" w:hAnsi="宋体" w:cs="宋体"/>
                      <w:kern w:val="0"/>
                      <w:szCs w:val="21"/>
                    </w:rPr>
                  </w:pPr>
                </w:p>
              </w:tc>
            </w:tr>
            <w:tr w14:paraId="2EE56AB7">
              <w:tblPrEx>
                <w:shd w:val="clear" w:color="auto" w:fill="FFFFFF"/>
                <w:tblCellMar>
                  <w:top w:w="30" w:type="dxa"/>
                  <w:left w:w="30" w:type="dxa"/>
                  <w:bottom w:w="30" w:type="dxa"/>
                  <w:right w:w="30" w:type="dxa"/>
                </w:tblCellMar>
              </w:tblPrEx>
              <w:trPr>
                <w:trHeight w:val="346" w:hRule="atLeast"/>
                <w:jc w:val="center"/>
              </w:trPr>
              <w:tc>
                <w:tcPr>
                  <w:tcW w:w="586"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8535737">
                  <w:pPr>
                    <w:widowControl/>
                    <w:spacing w:line="360" w:lineRule="auto"/>
                    <w:jc w:val="center"/>
                    <w:rPr>
                      <w:rFonts w:hint="eastAsia" w:ascii="宋体" w:hAnsi="宋体" w:cs="宋体"/>
                      <w:kern w:val="0"/>
                      <w:szCs w:val="21"/>
                    </w:rPr>
                  </w:pPr>
                </w:p>
              </w:tc>
              <w:tc>
                <w:tcPr>
                  <w:tcW w:w="1065"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7045BB82">
                  <w:pPr>
                    <w:widowControl/>
                    <w:spacing w:line="360" w:lineRule="auto"/>
                    <w:jc w:val="center"/>
                    <w:rPr>
                      <w:rFonts w:hint="eastAsia" w:ascii="宋体" w:hAnsi="宋体" w:cs="宋体"/>
                      <w:kern w:val="0"/>
                      <w:szCs w:val="21"/>
                    </w:rPr>
                  </w:pPr>
                </w:p>
              </w:tc>
              <w:tc>
                <w:tcPr>
                  <w:tcW w:w="131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3E3764F6">
                  <w:pPr>
                    <w:widowControl/>
                    <w:spacing w:line="360" w:lineRule="auto"/>
                    <w:jc w:val="center"/>
                    <w:rPr>
                      <w:rFonts w:hint="eastAsia" w:ascii="宋体" w:hAnsi="宋体" w:cs="宋体"/>
                      <w:kern w:val="0"/>
                      <w:szCs w:val="21"/>
                    </w:rPr>
                  </w:pPr>
                </w:p>
              </w:tc>
              <w:tc>
                <w:tcPr>
                  <w:tcW w:w="11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E28F939">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A02010604</w:t>
                  </w:r>
                </w:p>
              </w:tc>
              <w:tc>
                <w:tcPr>
                  <w:tcW w:w="17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4EDE0F7">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显示设备</w:t>
                  </w:r>
                </w:p>
              </w:tc>
              <w:tc>
                <w:tcPr>
                  <w:tcW w:w="3182"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24DC34E1">
                  <w:pPr>
                    <w:widowControl/>
                    <w:spacing w:line="360" w:lineRule="auto"/>
                    <w:jc w:val="center"/>
                    <w:rPr>
                      <w:rFonts w:hint="eastAsia" w:ascii="宋体" w:hAnsi="宋体" w:cs="宋体"/>
                      <w:kern w:val="0"/>
                      <w:szCs w:val="21"/>
                    </w:rPr>
                  </w:pPr>
                </w:p>
              </w:tc>
            </w:tr>
            <w:tr w14:paraId="58B7607A">
              <w:tblPrEx>
                <w:shd w:val="clear" w:color="auto" w:fill="FFFFFF"/>
                <w:tblCellMar>
                  <w:top w:w="30" w:type="dxa"/>
                  <w:left w:w="30" w:type="dxa"/>
                  <w:bottom w:w="30" w:type="dxa"/>
                  <w:right w:w="30" w:type="dxa"/>
                </w:tblCellMar>
              </w:tblPrEx>
              <w:trPr>
                <w:trHeight w:val="622" w:hRule="atLeast"/>
                <w:jc w:val="center"/>
              </w:trPr>
              <w:tc>
                <w:tcPr>
                  <w:tcW w:w="586"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23BB331">
                  <w:pPr>
                    <w:widowControl/>
                    <w:spacing w:line="360" w:lineRule="auto"/>
                    <w:jc w:val="center"/>
                    <w:rPr>
                      <w:rFonts w:hint="eastAsia" w:ascii="宋体" w:hAnsi="宋体" w:cs="宋体"/>
                      <w:kern w:val="0"/>
                      <w:szCs w:val="21"/>
                    </w:rPr>
                  </w:pPr>
                </w:p>
              </w:tc>
              <w:tc>
                <w:tcPr>
                  <w:tcW w:w="1065"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375627EF">
                  <w:pPr>
                    <w:widowControl/>
                    <w:spacing w:line="360" w:lineRule="auto"/>
                    <w:jc w:val="center"/>
                    <w:rPr>
                      <w:rFonts w:hint="eastAsia" w:ascii="宋体" w:hAnsi="宋体" w:cs="宋体"/>
                      <w:kern w:val="0"/>
                      <w:szCs w:val="21"/>
                    </w:rPr>
                  </w:pPr>
                </w:p>
              </w:tc>
              <w:tc>
                <w:tcPr>
                  <w:tcW w:w="131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7F46BA16">
                  <w:pPr>
                    <w:widowControl/>
                    <w:spacing w:line="360" w:lineRule="auto"/>
                    <w:jc w:val="center"/>
                    <w:rPr>
                      <w:rFonts w:hint="eastAsia" w:ascii="宋体" w:hAnsi="宋体" w:cs="宋体"/>
                      <w:kern w:val="0"/>
                      <w:szCs w:val="21"/>
                    </w:rPr>
                  </w:pPr>
                </w:p>
              </w:tc>
              <w:tc>
                <w:tcPr>
                  <w:tcW w:w="11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5DDC05">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A02010609</w:t>
                  </w:r>
                </w:p>
              </w:tc>
              <w:tc>
                <w:tcPr>
                  <w:tcW w:w="17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6CE99BC">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图形图像输入设备</w:t>
                  </w:r>
                </w:p>
              </w:tc>
              <w:tc>
                <w:tcPr>
                  <w:tcW w:w="3182"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7EECAD0A">
                  <w:pPr>
                    <w:widowControl/>
                    <w:spacing w:line="360" w:lineRule="auto"/>
                    <w:jc w:val="center"/>
                    <w:rPr>
                      <w:rFonts w:hint="eastAsia" w:ascii="宋体" w:hAnsi="宋体" w:cs="宋体"/>
                      <w:kern w:val="0"/>
                      <w:szCs w:val="21"/>
                    </w:rPr>
                  </w:pPr>
                </w:p>
              </w:tc>
            </w:tr>
            <w:tr w14:paraId="49B82745">
              <w:tblPrEx>
                <w:tblCellMar>
                  <w:top w:w="30" w:type="dxa"/>
                  <w:left w:w="30" w:type="dxa"/>
                  <w:bottom w:w="30" w:type="dxa"/>
                  <w:right w:w="30" w:type="dxa"/>
                </w:tblCellMar>
              </w:tblPrEx>
              <w:trPr>
                <w:trHeight w:val="346" w:hRule="atLeast"/>
                <w:jc w:val="center"/>
              </w:trPr>
              <w:tc>
                <w:tcPr>
                  <w:tcW w:w="586"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DFD0E4D">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3</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01A5B9E">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A020202</w:t>
                  </w:r>
                </w:p>
              </w:tc>
              <w:tc>
                <w:tcPr>
                  <w:tcW w:w="131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E39865A">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投影仪</w:t>
                  </w:r>
                </w:p>
              </w:tc>
              <w:tc>
                <w:tcPr>
                  <w:tcW w:w="11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FE40F41">
                  <w:pPr>
                    <w:widowControl/>
                    <w:spacing w:line="360" w:lineRule="auto"/>
                    <w:jc w:val="center"/>
                    <w:textAlignment w:val="baseline"/>
                    <w:rPr>
                      <w:rFonts w:hint="eastAsia" w:ascii="宋体" w:hAnsi="宋体" w:cs="宋体"/>
                      <w:kern w:val="0"/>
                      <w:szCs w:val="21"/>
                    </w:rPr>
                  </w:pPr>
                </w:p>
              </w:tc>
              <w:tc>
                <w:tcPr>
                  <w:tcW w:w="17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B29DAF3">
                  <w:pPr>
                    <w:widowControl/>
                    <w:spacing w:line="360" w:lineRule="auto"/>
                    <w:jc w:val="center"/>
                    <w:textAlignment w:val="baseline"/>
                    <w:rPr>
                      <w:rFonts w:hint="eastAsia" w:ascii="宋体" w:hAnsi="宋体" w:cs="宋体"/>
                      <w:kern w:val="0"/>
                      <w:szCs w:val="21"/>
                    </w:rPr>
                  </w:pPr>
                </w:p>
              </w:tc>
              <w:tc>
                <w:tcPr>
                  <w:tcW w:w="3182"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4FC167CE">
                  <w:pPr>
                    <w:widowControl/>
                    <w:spacing w:line="360" w:lineRule="auto"/>
                    <w:jc w:val="center"/>
                    <w:rPr>
                      <w:rFonts w:hint="eastAsia" w:ascii="宋体" w:hAnsi="宋体" w:cs="宋体"/>
                      <w:kern w:val="0"/>
                      <w:szCs w:val="21"/>
                    </w:rPr>
                  </w:pPr>
                </w:p>
              </w:tc>
            </w:tr>
            <w:tr w14:paraId="577DE9E8">
              <w:tblPrEx>
                <w:tblCellMar>
                  <w:top w:w="30" w:type="dxa"/>
                  <w:left w:w="30" w:type="dxa"/>
                  <w:bottom w:w="30" w:type="dxa"/>
                  <w:right w:w="30" w:type="dxa"/>
                </w:tblCellMar>
              </w:tblPrEx>
              <w:trPr>
                <w:trHeight w:val="624" w:hRule="atLeast"/>
                <w:jc w:val="center"/>
              </w:trPr>
              <w:tc>
                <w:tcPr>
                  <w:tcW w:w="586"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8C76F50">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4</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062375">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A020204</w:t>
                  </w:r>
                </w:p>
              </w:tc>
              <w:tc>
                <w:tcPr>
                  <w:tcW w:w="131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48B1FB6">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多功能一体机</w:t>
                  </w:r>
                </w:p>
              </w:tc>
              <w:tc>
                <w:tcPr>
                  <w:tcW w:w="11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84C6BA6">
                  <w:pPr>
                    <w:widowControl/>
                    <w:spacing w:line="360" w:lineRule="auto"/>
                    <w:jc w:val="center"/>
                    <w:textAlignment w:val="baseline"/>
                    <w:rPr>
                      <w:rFonts w:hint="eastAsia" w:ascii="宋体" w:hAnsi="宋体" w:cs="宋体"/>
                      <w:kern w:val="0"/>
                      <w:szCs w:val="21"/>
                    </w:rPr>
                  </w:pPr>
                </w:p>
              </w:tc>
              <w:tc>
                <w:tcPr>
                  <w:tcW w:w="17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6CA93AD">
                  <w:pPr>
                    <w:widowControl/>
                    <w:spacing w:line="360" w:lineRule="auto"/>
                    <w:jc w:val="center"/>
                    <w:textAlignment w:val="baseline"/>
                    <w:rPr>
                      <w:rFonts w:hint="eastAsia" w:ascii="宋体" w:hAnsi="宋体" w:cs="宋体"/>
                      <w:kern w:val="0"/>
                      <w:szCs w:val="21"/>
                    </w:rPr>
                  </w:pPr>
                </w:p>
              </w:tc>
              <w:tc>
                <w:tcPr>
                  <w:tcW w:w="3182"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74901B8D">
                  <w:pPr>
                    <w:widowControl/>
                    <w:spacing w:line="360" w:lineRule="auto"/>
                    <w:jc w:val="center"/>
                    <w:rPr>
                      <w:rFonts w:hint="eastAsia" w:ascii="宋体" w:hAnsi="宋体" w:cs="宋体"/>
                      <w:kern w:val="0"/>
                      <w:szCs w:val="21"/>
                    </w:rPr>
                  </w:pPr>
                </w:p>
              </w:tc>
            </w:tr>
            <w:tr w14:paraId="6C6C047B">
              <w:tblPrEx>
                <w:shd w:val="clear" w:color="auto" w:fill="FFFFFF"/>
                <w:tblCellMar>
                  <w:top w:w="30" w:type="dxa"/>
                  <w:left w:w="30" w:type="dxa"/>
                  <w:bottom w:w="30" w:type="dxa"/>
                  <w:right w:w="30" w:type="dxa"/>
                </w:tblCellMar>
              </w:tblPrEx>
              <w:trPr>
                <w:trHeight w:val="923" w:hRule="atLeast"/>
                <w:jc w:val="center"/>
              </w:trPr>
              <w:tc>
                <w:tcPr>
                  <w:tcW w:w="586"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4834286">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5</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9BCEF9">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A020519</w:t>
                  </w:r>
                </w:p>
              </w:tc>
              <w:tc>
                <w:tcPr>
                  <w:tcW w:w="131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65FD417">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泵</w:t>
                  </w:r>
                </w:p>
              </w:tc>
              <w:tc>
                <w:tcPr>
                  <w:tcW w:w="11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584195">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A02051901</w:t>
                  </w:r>
                </w:p>
              </w:tc>
              <w:tc>
                <w:tcPr>
                  <w:tcW w:w="17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5D8D90E">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离心泵</w:t>
                  </w:r>
                </w:p>
              </w:tc>
              <w:tc>
                <w:tcPr>
                  <w:tcW w:w="318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B0BC586">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中国质量认证中心</w:t>
                  </w:r>
                </w:p>
                <w:p w14:paraId="0DA5A4E9">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电能（北京）认证中心有限公司</w:t>
                  </w:r>
                </w:p>
                <w:p w14:paraId="26B4429B">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方圆标志认证集团有限公司</w:t>
                  </w:r>
                </w:p>
              </w:tc>
            </w:tr>
            <w:tr w14:paraId="4E70366D">
              <w:tblPrEx>
                <w:tblCellMar>
                  <w:top w:w="30" w:type="dxa"/>
                  <w:left w:w="30" w:type="dxa"/>
                  <w:bottom w:w="30" w:type="dxa"/>
                  <w:right w:w="30" w:type="dxa"/>
                </w:tblCellMar>
              </w:tblPrEx>
              <w:trPr>
                <w:trHeight w:val="346" w:hRule="atLeast"/>
                <w:jc w:val="center"/>
              </w:trPr>
              <w:tc>
                <w:tcPr>
                  <w:tcW w:w="586" w:type="dxa"/>
                  <w:vMerge w:val="restar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6F4CA2A">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6</w:t>
                  </w:r>
                </w:p>
              </w:tc>
              <w:tc>
                <w:tcPr>
                  <w:tcW w:w="1065"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FC5AE3">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A020523</w:t>
                  </w:r>
                </w:p>
              </w:tc>
              <w:tc>
                <w:tcPr>
                  <w:tcW w:w="1316"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737A80F">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制冷空调设备</w:t>
                  </w:r>
                </w:p>
              </w:tc>
              <w:tc>
                <w:tcPr>
                  <w:tcW w:w="11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370904">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A02052301</w:t>
                  </w:r>
                </w:p>
              </w:tc>
              <w:tc>
                <w:tcPr>
                  <w:tcW w:w="17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618F74">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制冷压缩机</w:t>
                  </w:r>
                </w:p>
              </w:tc>
              <w:tc>
                <w:tcPr>
                  <w:tcW w:w="3182"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0C94D67">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中国质量认证中心</w:t>
                  </w:r>
                </w:p>
                <w:p w14:paraId="35AB305A">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威凯认证检测有限公司</w:t>
                  </w:r>
                </w:p>
                <w:p w14:paraId="036AAE90">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合肥通用机械产品认证有限公司</w:t>
                  </w:r>
                </w:p>
                <w:p w14:paraId="2EB770D4">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北京中冷通质量认证中心有限公司</w:t>
                  </w:r>
                </w:p>
              </w:tc>
            </w:tr>
            <w:tr w14:paraId="5C060583">
              <w:tblPrEx>
                <w:shd w:val="clear" w:color="auto" w:fill="FFFFFF"/>
                <w:tblCellMar>
                  <w:top w:w="30" w:type="dxa"/>
                  <w:left w:w="30" w:type="dxa"/>
                  <w:bottom w:w="30" w:type="dxa"/>
                  <w:right w:w="30" w:type="dxa"/>
                </w:tblCellMar>
              </w:tblPrEx>
              <w:trPr>
                <w:trHeight w:val="346" w:hRule="atLeast"/>
                <w:jc w:val="center"/>
              </w:trPr>
              <w:tc>
                <w:tcPr>
                  <w:tcW w:w="586"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41E4E364">
                  <w:pPr>
                    <w:widowControl/>
                    <w:spacing w:line="360" w:lineRule="auto"/>
                    <w:jc w:val="center"/>
                    <w:rPr>
                      <w:rFonts w:hint="eastAsia" w:ascii="宋体" w:hAnsi="宋体" w:cs="宋体"/>
                      <w:kern w:val="0"/>
                      <w:szCs w:val="21"/>
                    </w:rPr>
                  </w:pPr>
                </w:p>
              </w:tc>
              <w:tc>
                <w:tcPr>
                  <w:tcW w:w="1065"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04F44D79">
                  <w:pPr>
                    <w:widowControl/>
                    <w:spacing w:line="360" w:lineRule="auto"/>
                    <w:jc w:val="center"/>
                    <w:rPr>
                      <w:rFonts w:hint="eastAsia" w:ascii="宋体" w:hAnsi="宋体" w:cs="宋体"/>
                      <w:kern w:val="0"/>
                      <w:szCs w:val="21"/>
                    </w:rPr>
                  </w:pPr>
                </w:p>
              </w:tc>
              <w:tc>
                <w:tcPr>
                  <w:tcW w:w="131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2B4CBBC7">
                  <w:pPr>
                    <w:widowControl/>
                    <w:spacing w:line="360" w:lineRule="auto"/>
                    <w:jc w:val="center"/>
                    <w:rPr>
                      <w:rFonts w:hint="eastAsia" w:ascii="宋体" w:hAnsi="宋体" w:cs="宋体"/>
                      <w:kern w:val="0"/>
                      <w:szCs w:val="21"/>
                    </w:rPr>
                  </w:pPr>
                </w:p>
              </w:tc>
              <w:tc>
                <w:tcPr>
                  <w:tcW w:w="11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9CC8A33">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A02052305</w:t>
                  </w:r>
                </w:p>
              </w:tc>
              <w:tc>
                <w:tcPr>
                  <w:tcW w:w="17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6DE963F">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空调机组</w:t>
                  </w:r>
                </w:p>
              </w:tc>
              <w:tc>
                <w:tcPr>
                  <w:tcW w:w="3182"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5436F947">
                  <w:pPr>
                    <w:widowControl/>
                    <w:spacing w:line="360" w:lineRule="auto"/>
                    <w:jc w:val="center"/>
                    <w:rPr>
                      <w:rFonts w:hint="eastAsia" w:ascii="宋体" w:hAnsi="宋体" w:cs="宋体"/>
                      <w:kern w:val="0"/>
                      <w:szCs w:val="21"/>
                    </w:rPr>
                  </w:pPr>
                </w:p>
              </w:tc>
            </w:tr>
            <w:tr w14:paraId="695C2E2F">
              <w:tblPrEx>
                <w:tblCellMar>
                  <w:top w:w="30" w:type="dxa"/>
                  <w:left w:w="30" w:type="dxa"/>
                  <w:bottom w:w="30" w:type="dxa"/>
                  <w:right w:w="30" w:type="dxa"/>
                </w:tblCellMar>
              </w:tblPrEx>
              <w:trPr>
                <w:trHeight w:val="633" w:hRule="atLeast"/>
                <w:jc w:val="center"/>
              </w:trPr>
              <w:tc>
                <w:tcPr>
                  <w:tcW w:w="586"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E0E61EE">
                  <w:pPr>
                    <w:widowControl/>
                    <w:spacing w:line="360" w:lineRule="auto"/>
                    <w:jc w:val="center"/>
                    <w:rPr>
                      <w:rFonts w:hint="eastAsia" w:ascii="宋体" w:hAnsi="宋体" w:cs="宋体"/>
                      <w:kern w:val="0"/>
                      <w:szCs w:val="21"/>
                    </w:rPr>
                  </w:pPr>
                </w:p>
              </w:tc>
              <w:tc>
                <w:tcPr>
                  <w:tcW w:w="1065"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38CFE484">
                  <w:pPr>
                    <w:widowControl/>
                    <w:spacing w:line="360" w:lineRule="auto"/>
                    <w:jc w:val="center"/>
                    <w:rPr>
                      <w:rFonts w:hint="eastAsia" w:ascii="宋体" w:hAnsi="宋体" w:cs="宋体"/>
                      <w:kern w:val="0"/>
                      <w:szCs w:val="21"/>
                    </w:rPr>
                  </w:pPr>
                </w:p>
              </w:tc>
              <w:tc>
                <w:tcPr>
                  <w:tcW w:w="131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1A7E7BF0">
                  <w:pPr>
                    <w:widowControl/>
                    <w:spacing w:line="360" w:lineRule="auto"/>
                    <w:jc w:val="center"/>
                    <w:rPr>
                      <w:rFonts w:hint="eastAsia" w:ascii="宋体" w:hAnsi="宋体" w:cs="宋体"/>
                      <w:kern w:val="0"/>
                      <w:szCs w:val="21"/>
                    </w:rPr>
                  </w:pPr>
                </w:p>
              </w:tc>
              <w:tc>
                <w:tcPr>
                  <w:tcW w:w="11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16573D1">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A02052309</w:t>
                  </w:r>
                </w:p>
              </w:tc>
              <w:tc>
                <w:tcPr>
                  <w:tcW w:w="17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C18D34C">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专用制冷、空调设备</w:t>
                  </w:r>
                </w:p>
              </w:tc>
              <w:tc>
                <w:tcPr>
                  <w:tcW w:w="3182"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4F6ED131">
                  <w:pPr>
                    <w:widowControl/>
                    <w:spacing w:line="360" w:lineRule="auto"/>
                    <w:jc w:val="center"/>
                    <w:rPr>
                      <w:rFonts w:hint="eastAsia" w:ascii="宋体" w:hAnsi="宋体" w:cs="宋体"/>
                      <w:kern w:val="0"/>
                      <w:szCs w:val="21"/>
                    </w:rPr>
                  </w:pPr>
                </w:p>
              </w:tc>
            </w:tr>
            <w:tr w14:paraId="44F8C05F">
              <w:tblPrEx>
                <w:tblCellMar>
                  <w:top w:w="30" w:type="dxa"/>
                  <w:left w:w="30" w:type="dxa"/>
                  <w:bottom w:w="30" w:type="dxa"/>
                  <w:right w:w="30" w:type="dxa"/>
                </w:tblCellMar>
              </w:tblPrEx>
              <w:trPr>
                <w:trHeight w:val="622" w:hRule="atLeast"/>
                <w:jc w:val="center"/>
              </w:trPr>
              <w:tc>
                <w:tcPr>
                  <w:tcW w:w="586"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1064C075">
                  <w:pPr>
                    <w:widowControl/>
                    <w:spacing w:line="360" w:lineRule="auto"/>
                    <w:jc w:val="center"/>
                    <w:rPr>
                      <w:rFonts w:hint="eastAsia" w:ascii="宋体" w:hAnsi="宋体" w:cs="宋体"/>
                      <w:kern w:val="0"/>
                      <w:szCs w:val="21"/>
                    </w:rPr>
                  </w:pPr>
                </w:p>
              </w:tc>
              <w:tc>
                <w:tcPr>
                  <w:tcW w:w="1065"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0437F3E4">
                  <w:pPr>
                    <w:widowControl/>
                    <w:spacing w:line="360" w:lineRule="auto"/>
                    <w:jc w:val="center"/>
                    <w:rPr>
                      <w:rFonts w:hint="eastAsia" w:ascii="宋体" w:hAnsi="宋体" w:cs="宋体"/>
                      <w:kern w:val="0"/>
                      <w:szCs w:val="21"/>
                    </w:rPr>
                  </w:pPr>
                </w:p>
              </w:tc>
              <w:tc>
                <w:tcPr>
                  <w:tcW w:w="131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71942BD2">
                  <w:pPr>
                    <w:widowControl/>
                    <w:spacing w:line="360" w:lineRule="auto"/>
                    <w:jc w:val="center"/>
                    <w:rPr>
                      <w:rFonts w:hint="eastAsia" w:ascii="宋体" w:hAnsi="宋体" w:cs="宋体"/>
                      <w:kern w:val="0"/>
                      <w:szCs w:val="21"/>
                    </w:rPr>
                  </w:pPr>
                </w:p>
              </w:tc>
              <w:tc>
                <w:tcPr>
                  <w:tcW w:w="11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C6207C1">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A02052399</w:t>
                  </w:r>
                </w:p>
              </w:tc>
              <w:tc>
                <w:tcPr>
                  <w:tcW w:w="17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7D069AE">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其他制冷空调设备</w:t>
                  </w:r>
                </w:p>
              </w:tc>
              <w:tc>
                <w:tcPr>
                  <w:tcW w:w="3182"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517307A2">
                  <w:pPr>
                    <w:widowControl/>
                    <w:spacing w:line="360" w:lineRule="auto"/>
                    <w:jc w:val="center"/>
                    <w:rPr>
                      <w:rFonts w:hint="eastAsia" w:ascii="宋体" w:hAnsi="宋体" w:cs="宋体"/>
                      <w:kern w:val="0"/>
                      <w:szCs w:val="21"/>
                    </w:rPr>
                  </w:pPr>
                </w:p>
              </w:tc>
            </w:tr>
            <w:tr w14:paraId="6D0EAF21">
              <w:tblPrEx>
                <w:shd w:val="clear" w:color="auto" w:fill="FFFFFF"/>
                <w:tblCellMar>
                  <w:top w:w="30" w:type="dxa"/>
                  <w:left w:w="30" w:type="dxa"/>
                  <w:bottom w:w="30" w:type="dxa"/>
                  <w:right w:w="30" w:type="dxa"/>
                </w:tblCellMar>
              </w:tblPrEx>
              <w:trPr>
                <w:trHeight w:val="1224" w:hRule="atLeast"/>
                <w:jc w:val="center"/>
              </w:trPr>
              <w:tc>
                <w:tcPr>
                  <w:tcW w:w="586"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5F8D348">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7</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CE31AC">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A020601</w:t>
                  </w:r>
                </w:p>
              </w:tc>
              <w:tc>
                <w:tcPr>
                  <w:tcW w:w="131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545605">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电机</w:t>
                  </w:r>
                </w:p>
              </w:tc>
              <w:tc>
                <w:tcPr>
                  <w:tcW w:w="11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874E30C">
                  <w:pPr>
                    <w:widowControl/>
                    <w:spacing w:line="360" w:lineRule="auto"/>
                    <w:jc w:val="center"/>
                    <w:textAlignment w:val="baseline"/>
                    <w:rPr>
                      <w:rFonts w:hint="eastAsia" w:ascii="宋体" w:hAnsi="宋体" w:cs="宋体"/>
                      <w:kern w:val="0"/>
                      <w:szCs w:val="21"/>
                    </w:rPr>
                  </w:pPr>
                </w:p>
              </w:tc>
              <w:tc>
                <w:tcPr>
                  <w:tcW w:w="17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737060D">
                  <w:pPr>
                    <w:widowControl/>
                    <w:spacing w:line="360" w:lineRule="auto"/>
                    <w:jc w:val="center"/>
                    <w:textAlignment w:val="baseline"/>
                    <w:rPr>
                      <w:rFonts w:hint="eastAsia" w:ascii="宋体" w:hAnsi="宋体" w:cs="宋体"/>
                      <w:kern w:val="0"/>
                      <w:szCs w:val="21"/>
                    </w:rPr>
                  </w:pPr>
                </w:p>
              </w:tc>
              <w:tc>
                <w:tcPr>
                  <w:tcW w:w="318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4EFC729">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中国质量认证中心</w:t>
                  </w:r>
                </w:p>
                <w:p w14:paraId="5DB850B3">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威凯认证检测有限公司</w:t>
                  </w:r>
                </w:p>
                <w:p w14:paraId="02FCD6F2">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电能（北京）认证中心有限公司</w:t>
                  </w:r>
                </w:p>
                <w:p w14:paraId="38CEB551">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中国船级社质量认证公司</w:t>
                  </w:r>
                </w:p>
              </w:tc>
            </w:tr>
            <w:tr w14:paraId="6A3D84B3">
              <w:tblPrEx>
                <w:tblCellMar>
                  <w:top w:w="30" w:type="dxa"/>
                  <w:left w:w="30" w:type="dxa"/>
                  <w:bottom w:w="30" w:type="dxa"/>
                  <w:right w:w="30" w:type="dxa"/>
                </w:tblCellMar>
              </w:tblPrEx>
              <w:trPr>
                <w:trHeight w:val="923" w:hRule="atLeast"/>
                <w:jc w:val="center"/>
              </w:trPr>
              <w:tc>
                <w:tcPr>
                  <w:tcW w:w="586"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7617980">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8</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7F0EB9">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A020602</w:t>
                  </w:r>
                </w:p>
              </w:tc>
              <w:tc>
                <w:tcPr>
                  <w:tcW w:w="131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264A647">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变压器</w:t>
                  </w:r>
                </w:p>
              </w:tc>
              <w:tc>
                <w:tcPr>
                  <w:tcW w:w="11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4BA7D2">
                  <w:pPr>
                    <w:widowControl/>
                    <w:spacing w:line="360" w:lineRule="auto"/>
                    <w:jc w:val="center"/>
                    <w:textAlignment w:val="baseline"/>
                    <w:rPr>
                      <w:rFonts w:hint="eastAsia" w:ascii="宋体" w:hAnsi="宋体" w:cs="宋体"/>
                      <w:kern w:val="0"/>
                      <w:szCs w:val="21"/>
                    </w:rPr>
                  </w:pPr>
                </w:p>
              </w:tc>
              <w:tc>
                <w:tcPr>
                  <w:tcW w:w="17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371D558">
                  <w:pPr>
                    <w:widowControl/>
                    <w:spacing w:line="360" w:lineRule="auto"/>
                    <w:jc w:val="center"/>
                    <w:textAlignment w:val="baseline"/>
                    <w:rPr>
                      <w:rFonts w:hint="eastAsia" w:ascii="宋体" w:hAnsi="宋体" w:cs="宋体"/>
                      <w:kern w:val="0"/>
                      <w:szCs w:val="21"/>
                    </w:rPr>
                  </w:pPr>
                </w:p>
              </w:tc>
              <w:tc>
                <w:tcPr>
                  <w:tcW w:w="318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1125156">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中国质量认证中心</w:t>
                  </w:r>
                </w:p>
                <w:p w14:paraId="06C704D8">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电能（北京）认证中心有限公司</w:t>
                  </w:r>
                </w:p>
                <w:p w14:paraId="1C119994">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方圆标志认证集团有限公司</w:t>
                  </w:r>
                </w:p>
              </w:tc>
            </w:tr>
            <w:tr w14:paraId="263508B5">
              <w:tblPrEx>
                <w:shd w:val="clear" w:color="auto" w:fill="FFFFFF"/>
                <w:tblCellMar>
                  <w:top w:w="30" w:type="dxa"/>
                  <w:left w:w="30" w:type="dxa"/>
                  <w:bottom w:w="30" w:type="dxa"/>
                  <w:right w:w="30" w:type="dxa"/>
                </w:tblCellMar>
              </w:tblPrEx>
              <w:trPr>
                <w:trHeight w:val="923" w:hRule="atLeast"/>
                <w:jc w:val="center"/>
              </w:trPr>
              <w:tc>
                <w:tcPr>
                  <w:tcW w:w="586"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518C13C">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9</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1B9FE74">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A020609</w:t>
                  </w:r>
                </w:p>
              </w:tc>
              <w:tc>
                <w:tcPr>
                  <w:tcW w:w="131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76371F2">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镇流器</w:t>
                  </w:r>
                </w:p>
              </w:tc>
              <w:tc>
                <w:tcPr>
                  <w:tcW w:w="11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172788">
                  <w:pPr>
                    <w:widowControl/>
                    <w:spacing w:line="360" w:lineRule="auto"/>
                    <w:jc w:val="center"/>
                    <w:textAlignment w:val="baseline"/>
                    <w:rPr>
                      <w:rFonts w:hint="eastAsia" w:ascii="宋体" w:hAnsi="宋体" w:cs="宋体"/>
                      <w:kern w:val="0"/>
                      <w:szCs w:val="21"/>
                    </w:rPr>
                  </w:pPr>
                </w:p>
              </w:tc>
              <w:tc>
                <w:tcPr>
                  <w:tcW w:w="17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C54655A">
                  <w:pPr>
                    <w:widowControl/>
                    <w:spacing w:line="360" w:lineRule="auto"/>
                    <w:jc w:val="center"/>
                    <w:textAlignment w:val="baseline"/>
                    <w:rPr>
                      <w:rFonts w:hint="eastAsia" w:ascii="宋体" w:hAnsi="宋体" w:cs="宋体"/>
                      <w:kern w:val="0"/>
                      <w:szCs w:val="21"/>
                    </w:rPr>
                  </w:pPr>
                </w:p>
              </w:tc>
              <w:tc>
                <w:tcPr>
                  <w:tcW w:w="318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C0D21D">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中国质量认证中心</w:t>
                  </w:r>
                </w:p>
                <w:p w14:paraId="2C4960A7">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深圳市计量质量检测研究院</w:t>
                  </w:r>
                </w:p>
                <w:p w14:paraId="160DB066">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中标合信（北京）认证有限公司</w:t>
                  </w:r>
                </w:p>
              </w:tc>
            </w:tr>
            <w:tr w14:paraId="002A3115">
              <w:tblPrEx>
                <w:tblCellMar>
                  <w:top w:w="30" w:type="dxa"/>
                  <w:left w:w="30" w:type="dxa"/>
                  <w:bottom w:w="30" w:type="dxa"/>
                  <w:right w:w="30" w:type="dxa"/>
                </w:tblCellMar>
              </w:tblPrEx>
              <w:trPr>
                <w:trHeight w:val="1209" w:hRule="atLeast"/>
                <w:jc w:val="center"/>
              </w:trPr>
              <w:tc>
                <w:tcPr>
                  <w:tcW w:w="586" w:type="dxa"/>
                  <w:vMerge w:val="restar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B9BBE73">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10</w:t>
                  </w:r>
                </w:p>
              </w:tc>
              <w:tc>
                <w:tcPr>
                  <w:tcW w:w="1065"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0E6328C">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A020618</w:t>
                  </w:r>
                </w:p>
              </w:tc>
              <w:tc>
                <w:tcPr>
                  <w:tcW w:w="1316"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A2DE680">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生活用电器</w:t>
                  </w:r>
                </w:p>
              </w:tc>
              <w:tc>
                <w:tcPr>
                  <w:tcW w:w="11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F07478">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A0206180101</w:t>
                  </w:r>
                </w:p>
              </w:tc>
              <w:tc>
                <w:tcPr>
                  <w:tcW w:w="17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B11F3C">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电冰箱</w:t>
                  </w:r>
                </w:p>
              </w:tc>
              <w:tc>
                <w:tcPr>
                  <w:tcW w:w="318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0817C9">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中国质量认证中心</w:t>
                  </w:r>
                </w:p>
                <w:p w14:paraId="3B8575CD">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威凯认证检测有限公司</w:t>
                  </w:r>
                </w:p>
                <w:p w14:paraId="0A051603">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中家院（北京）检测认证有限公司</w:t>
                  </w:r>
                </w:p>
              </w:tc>
            </w:tr>
            <w:tr w14:paraId="309B8617">
              <w:tblPrEx>
                <w:shd w:val="clear" w:color="auto" w:fill="FFFFFF"/>
                <w:tblCellMar>
                  <w:top w:w="30" w:type="dxa"/>
                  <w:left w:w="30" w:type="dxa"/>
                  <w:bottom w:w="30" w:type="dxa"/>
                  <w:right w:w="30" w:type="dxa"/>
                </w:tblCellMar>
              </w:tblPrEx>
              <w:trPr>
                <w:trHeight w:val="1793" w:hRule="atLeast"/>
                <w:jc w:val="center"/>
              </w:trPr>
              <w:tc>
                <w:tcPr>
                  <w:tcW w:w="586"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DA9AABF">
                  <w:pPr>
                    <w:widowControl/>
                    <w:spacing w:line="360" w:lineRule="auto"/>
                    <w:jc w:val="center"/>
                    <w:rPr>
                      <w:rFonts w:hint="eastAsia" w:ascii="宋体" w:hAnsi="宋体" w:cs="宋体"/>
                      <w:kern w:val="0"/>
                      <w:szCs w:val="21"/>
                    </w:rPr>
                  </w:pPr>
                </w:p>
              </w:tc>
              <w:tc>
                <w:tcPr>
                  <w:tcW w:w="1065"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21086377">
                  <w:pPr>
                    <w:widowControl/>
                    <w:spacing w:line="360" w:lineRule="auto"/>
                    <w:jc w:val="center"/>
                    <w:rPr>
                      <w:rFonts w:hint="eastAsia" w:ascii="宋体" w:hAnsi="宋体" w:cs="宋体"/>
                      <w:kern w:val="0"/>
                      <w:szCs w:val="21"/>
                    </w:rPr>
                  </w:pPr>
                </w:p>
              </w:tc>
              <w:tc>
                <w:tcPr>
                  <w:tcW w:w="131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59DC9AAE">
                  <w:pPr>
                    <w:widowControl/>
                    <w:spacing w:line="360" w:lineRule="auto"/>
                    <w:jc w:val="center"/>
                    <w:rPr>
                      <w:rFonts w:hint="eastAsia" w:ascii="宋体" w:hAnsi="宋体" w:cs="宋体"/>
                      <w:kern w:val="0"/>
                      <w:szCs w:val="21"/>
                    </w:rPr>
                  </w:pPr>
                </w:p>
              </w:tc>
              <w:tc>
                <w:tcPr>
                  <w:tcW w:w="11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26E5DD">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A0206180203</w:t>
                  </w:r>
                </w:p>
              </w:tc>
              <w:tc>
                <w:tcPr>
                  <w:tcW w:w="17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4D5BA1">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空调机</w:t>
                  </w:r>
                </w:p>
              </w:tc>
              <w:tc>
                <w:tcPr>
                  <w:tcW w:w="318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C0EB35">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中国质量认证中心</w:t>
                  </w:r>
                </w:p>
                <w:p w14:paraId="500C212D">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威凯认证检测有限公司</w:t>
                  </w:r>
                </w:p>
                <w:p w14:paraId="7C619BC7">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中家院（北京）检测认证有限公司</w:t>
                  </w:r>
                </w:p>
                <w:p w14:paraId="47A218BB">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合肥通用机械产品认证有限公司</w:t>
                  </w:r>
                </w:p>
              </w:tc>
            </w:tr>
            <w:tr w14:paraId="2D968BA0">
              <w:tblPrEx>
                <w:shd w:val="clear" w:color="auto" w:fill="FFFFFF"/>
                <w:tblCellMar>
                  <w:top w:w="30" w:type="dxa"/>
                  <w:left w:w="30" w:type="dxa"/>
                  <w:bottom w:w="30" w:type="dxa"/>
                  <w:right w:w="30" w:type="dxa"/>
                </w:tblCellMar>
              </w:tblPrEx>
              <w:trPr>
                <w:trHeight w:val="1209" w:hRule="atLeast"/>
                <w:jc w:val="center"/>
              </w:trPr>
              <w:tc>
                <w:tcPr>
                  <w:tcW w:w="586"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5973F71F">
                  <w:pPr>
                    <w:widowControl/>
                    <w:spacing w:line="360" w:lineRule="auto"/>
                    <w:jc w:val="center"/>
                    <w:rPr>
                      <w:rFonts w:hint="eastAsia" w:ascii="宋体" w:hAnsi="宋体" w:cs="宋体"/>
                      <w:kern w:val="0"/>
                      <w:szCs w:val="21"/>
                    </w:rPr>
                  </w:pPr>
                </w:p>
              </w:tc>
              <w:tc>
                <w:tcPr>
                  <w:tcW w:w="1065"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50DC4723">
                  <w:pPr>
                    <w:widowControl/>
                    <w:spacing w:line="360" w:lineRule="auto"/>
                    <w:jc w:val="center"/>
                    <w:rPr>
                      <w:rFonts w:hint="eastAsia" w:ascii="宋体" w:hAnsi="宋体" w:cs="宋体"/>
                      <w:kern w:val="0"/>
                      <w:szCs w:val="21"/>
                    </w:rPr>
                  </w:pPr>
                </w:p>
              </w:tc>
              <w:tc>
                <w:tcPr>
                  <w:tcW w:w="131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2DA1F29E">
                  <w:pPr>
                    <w:widowControl/>
                    <w:spacing w:line="360" w:lineRule="auto"/>
                    <w:jc w:val="center"/>
                    <w:rPr>
                      <w:rFonts w:hint="eastAsia" w:ascii="宋体" w:hAnsi="宋体" w:cs="宋体"/>
                      <w:kern w:val="0"/>
                      <w:szCs w:val="21"/>
                    </w:rPr>
                  </w:pPr>
                </w:p>
              </w:tc>
              <w:tc>
                <w:tcPr>
                  <w:tcW w:w="11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8E55644">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A0206180301</w:t>
                  </w:r>
                </w:p>
              </w:tc>
              <w:tc>
                <w:tcPr>
                  <w:tcW w:w="17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12B3163">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洗衣机</w:t>
                  </w:r>
                </w:p>
              </w:tc>
              <w:tc>
                <w:tcPr>
                  <w:tcW w:w="318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1129622">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中国质量认证中心</w:t>
                  </w:r>
                </w:p>
                <w:p w14:paraId="411650CC">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威凯认证检测有限公司</w:t>
                  </w:r>
                </w:p>
                <w:p w14:paraId="10266FAA">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中家院（北京）检测认证有限公司</w:t>
                  </w:r>
                </w:p>
              </w:tc>
            </w:tr>
            <w:tr w14:paraId="2AC66A79">
              <w:tblPrEx>
                <w:shd w:val="clear" w:color="auto" w:fill="FFFFFF"/>
                <w:tblCellMar>
                  <w:top w:w="30" w:type="dxa"/>
                  <w:left w:w="30" w:type="dxa"/>
                  <w:bottom w:w="30" w:type="dxa"/>
                  <w:right w:w="30" w:type="dxa"/>
                </w:tblCellMar>
              </w:tblPrEx>
              <w:trPr>
                <w:trHeight w:val="1525" w:hRule="atLeast"/>
                <w:jc w:val="center"/>
              </w:trPr>
              <w:tc>
                <w:tcPr>
                  <w:tcW w:w="586"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3773BD1">
                  <w:pPr>
                    <w:widowControl/>
                    <w:spacing w:line="360" w:lineRule="auto"/>
                    <w:jc w:val="center"/>
                    <w:rPr>
                      <w:rFonts w:hint="eastAsia" w:ascii="宋体" w:hAnsi="宋体" w:cs="宋体"/>
                      <w:kern w:val="0"/>
                      <w:szCs w:val="21"/>
                    </w:rPr>
                  </w:pPr>
                </w:p>
              </w:tc>
              <w:tc>
                <w:tcPr>
                  <w:tcW w:w="1065"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103E675E">
                  <w:pPr>
                    <w:widowControl/>
                    <w:spacing w:line="360" w:lineRule="auto"/>
                    <w:jc w:val="center"/>
                    <w:rPr>
                      <w:rFonts w:hint="eastAsia" w:ascii="宋体" w:hAnsi="宋体" w:cs="宋体"/>
                      <w:kern w:val="0"/>
                      <w:szCs w:val="21"/>
                    </w:rPr>
                  </w:pPr>
                </w:p>
              </w:tc>
              <w:tc>
                <w:tcPr>
                  <w:tcW w:w="131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45103B98">
                  <w:pPr>
                    <w:widowControl/>
                    <w:spacing w:line="360" w:lineRule="auto"/>
                    <w:jc w:val="center"/>
                    <w:rPr>
                      <w:rFonts w:hint="eastAsia" w:ascii="宋体" w:hAnsi="宋体" w:cs="宋体"/>
                      <w:kern w:val="0"/>
                      <w:szCs w:val="21"/>
                    </w:rPr>
                  </w:pPr>
                </w:p>
              </w:tc>
              <w:tc>
                <w:tcPr>
                  <w:tcW w:w="11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ACB03C6">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A02061808</w:t>
                  </w:r>
                </w:p>
              </w:tc>
              <w:tc>
                <w:tcPr>
                  <w:tcW w:w="17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95C7654">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热水器</w:t>
                  </w:r>
                </w:p>
              </w:tc>
              <w:tc>
                <w:tcPr>
                  <w:tcW w:w="318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346595">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中国质量认证中心</w:t>
                  </w:r>
                </w:p>
                <w:p w14:paraId="5429E2B7">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威凯认证检测有限公司</w:t>
                  </w:r>
                </w:p>
                <w:p w14:paraId="65EB5B5F">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中家院（北京）检测认证有限公司</w:t>
                  </w:r>
                </w:p>
                <w:p w14:paraId="111D4400">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合肥通用机械产品认证有限公司(范围仅限于“热泵热水器”)</w:t>
                  </w:r>
                </w:p>
              </w:tc>
            </w:tr>
            <w:tr w14:paraId="30853E44">
              <w:tblPrEx>
                <w:tblCellMar>
                  <w:top w:w="30" w:type="dxa"/>
                  <w:left w:w="30" w:type="dxa"/>
                  <w:bottom w:w="30" w:type="dxa"/>
                  <w:right w:w="30" w:type="dxa"/>
                </w:tblCellMar>
              </w:tblPrEx>
              <w:trPr>
                <w:trHeight w:val="923" w:hRule="atLeast"/>
                <w:jc w:val="center"/>
              </w:trPr>
              <w:tc>
                <w:tcPr>
                  <w:tcW w:w="586"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8EF7FD2">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11</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707694A">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A020619</w:t>
                  </w:r>
                </w:p>
              </w:tc>
              <w:tc>
                <w:tcPr>
                  <w:tcW w:w="131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25F1918">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照明设备</w:t>
                  </w:r>
                </w:p>
              </w:tc>
              <w:tc>
                <w:tcPr>
                  <w:tcW w:w="11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528610">
                  <w:pPr>
                    <w:widowControl/>
                    <w:spacing w:line="360" w:lineRule="auto"/>
                    <w:jc w:val="center"/>
                    <w:textAlignment w:val="baseline"/>
                    <w:rPr>
                      <w:rFonts w:hint="eastAsia" w:ascii="宋体" w:hAnsi="宋体" w:cs="宋体"/>
                      <w:kern w:val="0"/>
                      <w:szCs w:val="21"/>
                    </w:rPr>
                  </w:pPr>
                </w:p>
              </w:tc>
              <w:tc>
                <w:tcPr>
                  <w:tcW w:w="17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EDCD35">
                  <w:pPr>
                    <w:widowControl/>
                    <w:spacing w:line="360" w:lineRule="auto"/>
                    <w:jc w:val="center"/>
                    <w:textAlignment w:val="baseline"/>
                    <w:rPr>
                      <w:rFonts w:hint="eastAsia" w:ascii="宋体" w:hAnsi="宋体" w:cs="宋体"/>
                      <w:kern w:val="0"/>
                      <w:szCs w:val="21"/>
                    </w:rPr>
                  </w:pPr>
                </w:p>
              </w:tc>
              <w:tc>
                <w:tcPr>
                  <w:tcW w:w="318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2E64957">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中国质量认证中心</w:t>
                  </w:r>
                </w:p>
                <w:p w14:paraId="17985557">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深圳市计量质量检测研究院</w:t>
                  </w:r>
                </w:p>
                <w:p w14:paraId="4A0EB010">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中标合信（北京）认证有限公司</w:t>
                  </w:r>
                </w:p>
              </w:tc>
            </w:tr>
            <w:tr w14:paraId="15917572">
              <w:tblPrEx>
                <w:shd w:val="clear" w:color="auto" w:fill="FFFFFF"/>
                <w:tblCellMar>
                  <w:top w:w="30" w:type="dxa"/>
                  <w:left w:w="30" w:type="dxa"/>
                  <w:bottom w:w="30" w:type="dxa"/>
                  <w:right w:w="30" w:type="dxa"/>
                </w:tblCellMar>
              </w:tblPrEx>
              <w:trPr>
                <w:trHeight w:val="633" w:hRule="atLeast"/>
                <w:jc w:val="center"/>
              </w:trPr>
              <w:tc>
                <w:tcPr>
                  <w:tcW w:w="586"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2B27220">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12</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D0EAAD">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A020910</w:t>
                  </w:r>
                </w:p>
              </w:tc>
              <w:tc>
                <w:tcPr>
                  <w:tcW w:w="131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3C7B967">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电视设备</w:t>
                  </w:r>
                </w:p>
              </w:tc>
              <w:tc>
                <w:tcPr>
                  <w:tcW w:w="11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0208AFF">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A02091001</w:t>
                  </w:r>
                </w:p>
              </w:tc>
              <w:tc>
                <w:tcPr>
                  <w:tcW w:w="17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8125BE">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普通电视设备（电视机）</w:t>
                  </w:r>
                </w:p>
              </w:tc>
              <w:tc>
                <w:tcPr>
                  <w:tcW w:w="3182"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49199FA">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中国质量认证中心</w:t>
                  </w:r>
                </w:p>
                <w:p w14:paraId="10CCEF41">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北京泰瑞特认证有限责任公司</w:t>
                  </w:r>
                </w:p>
                <w:p w14:paraId="21034597">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广州赛宝认证中心服务有限公司</w:t>
                  </w:r>
                </w:p>
              </w:tc>
            </w:tr>
            <w:tr w14:paraId="5219430C">
              <w:tblPrEx>
                <w:shd w:val="clear" w:color="auto" w:fill="FFFFFF"/>
                <w:tblCellMar>
                  <w:top w:w="30" w:type="dxa"/>
                  <w:left w:w="30" w:type="dxa"/>
                  <w:bottom w:w="30" w:type="dxa"/>
                  <w:right w:w="30" w:type="dxa"/>
                </w:tblCellMar>
              </w:tblPrEx>
              <w:trPr>
                <w:trHeight w:val="597" w:hRule="atLeast"/>
                <w:jc w:val="center"/>
              </w:trPr>
              <w:tc>
                <w:tcPr>
                  <w:tcW w:w="586"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85343C0">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13</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D5ACC1A">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A020911</w:t>
                  </w:r>
                </w:p>
              </w:tc>
              <w:tc>
                <w:tcPr>
                  <w:tcW w:w="131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F54F9DB">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视频设备</w:t>
                  </w:r>
                </w:p>
              </w:tc>
              <w:tc>
                <w:tcPr>
                  <w:tcW w:w="11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A021C81">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A02091107</w:t>
                  </w:r>
                </w:p>
              </w:tc>
              <w:tc>
                <w:tcPr>
                  <w:tcW w:w="17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E0C4173">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视频监控设备</w:t>
                  </w:r>
                </w:p>
              </w:tc>
              <w:tc>
                <w:tcPr>
                  <w:tcW w:w="3182"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1737C8A6">
                  <w:pPr>
                    <w:widowControl/>
                    <w:spacing w:line="360" w:lineRule="auto"/>
                    <w:jc w:val="center"/>
                    <w:rPr>
                      <w:rFonts w:hint="eastAsia" w:ascii="宋体" w:hAnsi="宋体" w:cs="宋体"/>
                      <w:kern w:val="0"/>
                      <w:szCs w:val="21"/>
                    </w:rPr>
                  </w:pPr>
                </w:p>
              </w:tc>
            </w:tr>
            <w:tr w14:paraId="491C0FA6">
              <w:tblPrEx>
                <w:shd w:val="clear" w:color="auto" w:fill="FFFFFF"/>
                <w:tblCellMar>
                  <w:top w:w="30" w:type="dxa"/>
                  <w:left w:w="30" w:type="dxa"/>
                  <w:bottom w:w="30" w:type="dxa"/>
                  <w:right w:w="30" w:type="dxa"/>
                </w:tblCellMar>
              </w:tblPrEx>
              <w:trPr>
                <w:trHeight w:val="1224" w:hRule="atLeast"/>
                <w:jc w:val="center"/>
              </w:trPr>
              <w:tc>
                <w:tcPr>
                  <w:tcW w:w="586"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E2E0CC9">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14</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7AD444D">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A031210</w:t>
                  </w:r>
                </w:p>
              </w:tc>
              <w:tc>
                <w:tcPr>
                  <w:tcW w:w="131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D220A2E">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饮食炊事机械</w:t>
                  </w:r>
                </w:p>
              </w:tc>
              <w:tc>
                <w:tcPr>
                  <w:tcW w:w="11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ED2FC5">
                  <w:pPr>
                    <w:widowControl/>
                    <w:spacing w:line="360" w:lineRule="auto"/>
                    <w:jc w:val="center"/>
                    <w:textAlignment w:val="baseline"/>
                    <w:rPr>
                      <w:rFonts w:hint="eastAsia" w:ascii="宋体" w:hAnsi="宋体" w:cs="宋体"/>
                      <w:kern w:val="0"/>
                      <w:szCs w:val="21"/>
                    </w:rPr>
                  </w:pPr>
                </w:p>
              </w:tc>
              <w:tc>
                <w:tcPr>
                  <w:tcW w:w="17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4E8716">
                  <w:pPr>
                    <w:widowControl/>
                    <w:spacing w:line="360" w:lineRule="auto"/>
                    <w:jc w:val="center"/>
                    <w:textAlignment w:val="baseline"/>
                    <w:rPr>
                      <w:rFonts w:hint="eastAsia" w:ascii="宋体" w:hAnsi="宋体" w:cs="宋体"/>
                      <w:kern w:val="0"/>
                      <w:szCs w:val="21"/>
                    </w:rPr>
                  </w:pPr>
                </w:p>
              </w:tc>
              <w:tc>
                <w:tcPr>
                  <w:tcW w:w="318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2A12DD6">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中国质量认证中心</w:t>
                  </w:r>
                </w:p>
                <w:p w14:paraId="3C683239">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北京鉴衡认证中心</w:t>
                  </w:r>
                </w:p>
                <w:p w14:paraId="045B997D">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中国市政工程华北设计研究总院有限公司</w:t>
                  </w:r>
                </w:p>
              </w:tc>
            </w:tr>
            <w:tr w14:paraId="20EB4907">
              <w:tblPrEx>
                <w:shd w:val="clear" w:color="auto" w:fill="FFFFFF"/>
                <w:tblCellMar>
                  <w:top w:w="30" w:type="dxa"/>
                  <w:left w:w="30" w:type="dxa"/>
                  <w:bottom w:w="30" w:type="dxa"/>
                  <w:right w:w="30" w:type="dxa"/>
                </w:tblCellMar>
              </w:tblPrEx>
              <w:trPr>
                <w:trHeight w:val="346" w:hRule="atLeast"/>
                <w:jc w:val="center"/>
              </w:trPr>
              <w:tc>
                <w:tcPr>
                  <w:tcW w:w="586"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49138D5">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15</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3E21F0">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A060805</w:t>
                  </w:r>
                </w:p>
              </w:tc>
              <w:tc>
                <w:tcPr>
                  <w:tcW w:w="131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4A8D6DF">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便器</w:t>
                  </w:r>
                </w:p>
              </w:tc>
              <w:tc>
                <w:tcPr>
                  <w:tcW w:w="11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C47E4F4">
                  <w:pPr>
                    <w:widowControl/>
                    <w:spacing w:line="360" w:lineRule="auto"/>
                    <w:jc w:val="center"/>
                    <w:textAlignment w:val="baseline"/>
                    <w:rPr>
                      <w:rFonts w:hint="eastAsia" w:ascii="宋体" w:hAnsi="宋体" w:cs="宋体"/>
                      <w:kern w:val="0"/>
                      <w:szCs w:val="21"/>
                    </w:rPr>
                  </w:pPr>
                </w:p>
              </w:tc>
              <w:tc>
                <w:tcPr>
                  <w:tcW w:w="17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274A78">
                  <w:pPr>
                    <w:widowControl/>
                    <w:spacing w:line="360" w:lineRule="auto"/>
                    <w:jc w:val="center"/>
                    <w:textAlignment w:val="baseline"/>
                    <w:rPr>
                      <w:rFonts w:hint="eastAsia" w:ascii="宋体" w:hAnsi="宋体" w:cs="宋体"/>
                      <w:kern w:val="0"/>
                      <w:szCs w:val="21"/>
                    </w:rPr>
                  </w:pPr>
                </w:p>
              </w:tc>
              <w:tc>
                <w:tcPr>
                  <w:tcW w:w="3182"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60B1A9">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中国质量认证中心</w:t>
                  </w:r>
                </w:p>
                <w:p w14:paraId="538C98F4">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北京新华节水产品认证有限公司</w:t>
                  </w:r>
                </w:p>
                <w:p w14:paraId="53D4AC85">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方圆标志认证集团有限公司</w:t>
                  </w:r>
                </w:p>
              </w:tc>
            </w:tr>
            <w:tr w14:paraId="5EBA319B">
              <w:tblPrEx>
                <w:shd w:val="clear" w:color="auto" w:fill="FFFFFF"/>
                <w:tblCellMar>
                  <w:top w:w="30" w:type="dxa"/>
                  <w:left w:w="30" w:type="dxa"/>
                  <w:bottom w:w="30" w:type="dxa"/>
                  <w:right w:w="30" w:type="dxa"/>
                </w:tblCellMar>
              </w:tblPrEx>
              <w:trPr>
                <w:trHeight w:val="346" w:hRule="atLeast"/>
                <w:jc w:val="center"/>
              </w:trPr>
              <w:tc>
                <w:tcPr>
                  <w:tcW w:w="586"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D5D5BCB">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16</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1977B2D">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A060806</w:t>
                  </w:r>
                </w:p>
              </w:tc>
              <w:tc>
                <w:tcPr>
                  <w:tcW w:w="131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B5D2DB6">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水嘴</w:t>
                  </w:r>
                </w:p>
              </w:tc>
              <w:tc>
                <w:tcPr>
                  <w:tcW w:w="11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0AF7A15">
                  <w:pPr>
                    <w:widowControl/>
                    <w:spacing w:line="360" w:lineRule="auto"/>
                    <w:jc w:val="center"/>
                    <w:textAlignment w:val="baseline"/>
                    <w:rPr>
                      <w:rFonts w:hint="eastAsia" w:ascii="宋体" w:hAnsi="宋体" w:cs="宋体"/>
                      <w:kern w:val="0"/>
                      <w:szCs w:val="21"/>
                    </w:rPr>
                  </w:pPr>
                </w:p>
              </w:tc>
              <w:tc>
                <w:tcPr>
                  <w:tcW w:w="17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EB4A3C">
                  <w:pPr>
                    <w:widowControl/>
                    <w:spacing w:line="360" w:lineRule="auto"/>
                    <w:jc w:val="center"/>
                    <w:textAlignment w:val="baseline"/>
                    <w:rPr>
                      <w:rFonts w:hint="eastAsia" w:ascii="宋体" w:hAnsi="宋体" w:cs="宋体"/>
                      <w:kern w:val="0"/>
                      <w:szCs w:val="21"/>
                    </w:rPr>
                  </w:pPr>
                </w:p>
              </w:tc>
              <w:tc>
                <w:tcPr>
                  <w:tcW w:w="3182"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1B8BD6C0">
                  <w:pPr>
                    <w:widowControl/>
                    <w:spacing w:line="360" w:lineRule="auto"/>
                    <w:jc w:val="center"/>
                    <w:rPr>
                      <w:rFonts w:hint="eastAsia" w:ascii="宋体" w:hAnsi="宋体" w:cs="宋体"/>
                      <w:kern w:val="0"/>
                      <w:szCs w:val="21"/>
                    </w:rPr>
                  </w:pPr>
                </w:p>
              </w:tc>
            </w:tr>
            <w:tr w14:paraId="7FA9F1ED">
              <w:tblPrEx>
                <w:tblCellMar>
                  <w:top w:w="30" w:type="dxa"/>
                  <w:left w:w="30" w:type="dxa"/>
                  <w:bottom w:w="30" w:type="dxa"/>
                  <w:right w:w="30" w:type="dxa"/>
                </w:tblCellMar>
              </w:tblPrEx>
              <w:trPr>
                <w:trHeight w:val="346" w:hRule="atLeast"/>
                <w:jc w:val="center"/>
              </w:trPr>
              <w:tc>
                <w:tcPr>
                  <w:tcW w:w="586"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80DE772">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17</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874B59D">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A060807</w:t>
                  </w:r>
                </w:p>
              </w:tc>
              <w:tc>
                <w:tcPr>
                  <w:tcW w:w="131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0682086">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便器冲洗阀</w:t>
                  </w:r>
                </w:p>
              </w:tc>
              <w:tc>
                <w:tcPr>
                  <w:tcW w:w="11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5B4A25F">
                  <w:pPr>
                    <w:widowControl/>
                    <w:spacing w:line="360" w:lineRule="auto"/>
                    <w:jc w:val="center"/>
                    <w:textAlignment w:val="baseline"/>
                    <w:rPr>
                      <w:rFonts w:hint="eastAsia" w:ascii="宋体" w:hAnsi="宋体" w:cs="宋体"/>
                      <w:kern w:val="0"/>
                      <w:szCs w:val="21"/>
                    </w:rPr>
                  </w:pPr>
                </w:p>
              </w:tc>
              <w:tc>
                <w:tcPr>
                  <w:tcW w:w="17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C613B7">
                  <w:pPr>
                    <w:widowControl/>
                    <w:spacing w:line="360" w:lineRule="auto"/>
                    <w:jc w:val="center"/>
                    <w:textAlignment w:val="baseline"/>
                    <w:rPr>
                      <w:rFonts w:hint="eastAsia" w:ascii="宋体" w:hAnsi="宋体" w:cs="宋体"/>
                      <w:kern w:val="0"/>
                      <w:szCs w:val="21"/>
                    </w:rPr>
                  </w:pPr>
                </w:p>
              </w:tc>
              <w:tc>
                <w:tcPr>
                  <w:tcW w:w="3182"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12EF4154">
                  <w:pPr>
                    <w:widowControl/>
                    <w:spacing w:line="360" w:lineRule="auto"/>
                    <w:jc w:val="center"/>
                    <w:rPr>
                      <w:rFonts w:hint="eastAsia" w:ascii="宋体" w:hAnsi="宋体" w:cs="宋体"/>
                      <w:kern w:val="0"/>
                      <w:szCs w:val="21"/>
                    </w:rPr>
                  </w:pPr>
                </w:p>
              </w:tc>
            </w:tr>
            <w:tr w14:paraId="3D192104">
              <w:tblPrEx>
                <w:tblCellMar>
                  <w:top w:w="30" w:type="dxa"/>
                  <w:left w:w="30" w:type="dxa"/>
                  <w:bottom w:w="30" w:type="dxa"/>
                  <w:right w:w="30" w:type="dxa"/>
                </w:tblCellMar>
              </w:tblPrEx>
              <w:trPr>
                <w:trHeight w:val="401" w:hRule="atLeast"/>
                <w:jc w:val="center"/>
              </w:trPr>
              <w:tc>
                <w:tcPr>
                  <w:tcW w:w="586"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5B31D11">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18</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6ED457">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A060810</w:t>
                  </w:r>
                </w:p>
              </w:tc>
              <w:tc>
                <w:tcPr>
                  <w:tcW w:w="131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D4EC2A">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淋浴器</w:t>
                  </w:r>
                </w:p>
              </w:tc>
              <w:tc>
                <w:tcPr>
                  <w:tcW w:w="11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C74E9F1">
                  <w:pPr>
                    <w:widowControl/>
                    <w:spacing w:line="360" w:lineRule="auto"/>
                    <w:jc w:val="center"/>
                    <w:textAlignment w:val="baseline"/>
                    <w:rPr>
                      <w:rFonts w:hint="eastAsia" w:ascii="宋体" w:hAnsi="宋体" w:cs="宋体"/>
                      <w:kern w:val="0"/>
                      <w:szCs w:val="21"/>
                    </w:rPr>
                  </w:pPr>
                </w:p>
              </w:tc>
              <w:tc>
                <w:tcPr>
                  <w:tcW w:w="17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3F7E7F">
                  <w:pPr>
                    <w:widowControl/>
                    <w:spacing w:line="360" w:lineRule="auto"/>
                    <w:jc w:val="center"/>
                    <w:textAlignment w:val="baseline"/>
                    <w:rPr>
                      <w:rFonts w:hint="eastAsia" w:ascii="宋体" w:hAnsi="宋体" w:cs="宋体"/>
                      <w:kern w:val="0"/>
                      <w:szCs w:val="21"/>
                    </w:rPr>
                  </w:pPr>
                </w:p>
              </w:tc>
              <w:tc>
                <w:tcPr>
                  <w:tcW w:w="3182"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4AE48D9A">
                  <w:pPr>
                    <w:widowControl/>
                    <w:spacing w:line="360" w:lineRule="auto"/>
                    <w:jc w:val="center"/>
                    <w:rPr>
                      <w:rFonts w:hint="eastAsia" w:ascii="宋体" w:hAnsi="宋体" w:cs="宋体"/>
                      <w:kern w:val="0"/>
                      <w:szCs w:val="21"/>
                    </w:rPr>
                  </w:pPr>
                </w:p>
              </w:tc>
            </w:tr>
          </w:tbl>
          <w:p w14:paraId="081468A7">
            <w:pPr>
              <w:tabs>
                <w:tab w:val="left" w:pos="105"/>
                <w:tab w:val="left" w:pos="945"/>
                <w:tab w:val="left" w:pos="3360"/>
              </w:tabs>
              <w:snapToGrid w:val="0"/>
              <w:spacing w:line="360" w:lineRule="auto"/>
              <w:ind w:firstLine="420"/>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2.7参与实施政府采购环境标志产品认证机构名录 </w:t>
            </w:r>
          </w:p>
          <w:tbl>
            <w:tblPr>
              <w:tblStyle w:val="23"/>
              <w:tblW w:w="8858" w:type="dxa"/>
              <w:jc w:val="center"/>
              <w:shd w:val="clear" w:color="auto" w:fill="FFFFFF"/>
              <w:tblLayout w:type="fixed"/>
              <w:tblCellMar>
                <w:top w:w="30" w:type="dxa"/>
                <w:left w:w="30" w:type="dxa"/>
                <w:bottom w:w="30" w:type="dxa"/>
                <w:right w:w="30" w:type="dxa"/>
              </w:tblCellMar>
            </w:tblPr>
            <w:tblGrid>
              <w:gridCol w:w="644"/>
              <w:gridCol w:w="2114"/>
              <w:gridCol w:w="6100"/>
            </w:tblGrid>
            <w:tr w14:paraId="04FC594B">
              <w:tblPrEx>
                <w:shd w:val="clear" w:color="auto" w:fill="FFFFFF"/>
                <w:tblCellMar>
                  <w:top w:w="30" w:type="dxa"/>
                  <w:left w:w="30" w:type="dxa"/>
                  <w:bottom w:w="30" w:type="dxa"/>
                  <w:right w:w="30" w:type="dxa"/>
                </w:tblCellMar>
              </w:tblPrEx>
              <w:trPr>
                <w:trHeight w:val="459" w:hRule="atLeast"/>
                <w:jc w:val="center"/>
              </w:trPr>
              <w:tc>
                <w:tcPr>
                  <w:tcW w:w="644"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bottom"/>
                </w:tcPr>
                <w:p w14:paraId="11FF8C1D">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序号</w:t>
                  </w:r>
                </w:p>
              </w:tc>
              <w:tc>
                <w:tcPr>
                  <w:tcW w:w="2114"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bottom"/>
                </w:tcPr>
                <w:p w14:paraId="13AEE5EA">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目录</w:t>
                  </w:r>
                </w:p>
              </w:tc>
              <w:tc>
                <w:tcPr>
                  <w:tcW w:w="6100"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bottom"/>
                </w:tcPr>
                <w:p w14:paraId="37B71062">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认证机构名录</w:t>
                  </w:r>
                </w:p>
              </w:tc>
            </w:tr>
            <w:tr w14:paraId="5D9E08D4">
              <w:tblPrEx>
                <w:shd w:val="clear" w:color="auto" w:fill="FFFFFF"/>
                <w:tblCellMar>
                  <w:top w:w="30" w:type="dxa"/>
                  <w:left w:w="30" w:type="dxa"/>
                  <w:bottom w:w="30" w:type="dxa"/>
                  <w:right w:w="30" w:type="dxa"/>
                </w:tblCellMar>
              </w:tblPrEx>
              <w:trPr>
                <w:trHeight w:val="1304" w:hRule="atLeast"/>
                <w:jc w:val="center"/>
              </w:trPr>
              <w:tc>
                <w:tcPr>
                  <w:tcW w:w="64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FFA55FB">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1</w:t>
                  </w:r>
                </w:p>
              </w:tc>
              <w:tc>
                <w:tcPr>
                  <w:tcW w:w="211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C15FD1">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环境标志产品</w:t>
                  </w:r>
                </w:p>
              </w:tc>
              <w:tc>
                <w:tcPr>
                  <w:tcW w:w="6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85A268">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中环联合（北京）认证中心有限公司</w:t>
                  </w:r>
                </w:p>
                <w:p w14:paraId="2BB41C37">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中标合信（北京）认证有限公司</w:t>
                  </w:r>
                </w:p>
                <w:p w14:paraId="37AB38CE">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中环协（北京）认证中心</w:t>
                  </w:r>
                </w:p>
                <w:p w14:paraId="3EAF13F9">
                  <w:pPr>
                    <w:widowControl/>
                    <w:spacing w:line="360" w:lineRule="auto"/>
                    <w:jc w:val="center"/>
                    <w:textAlignment w:val="baseline"/>
                    <w:rPr>
                      <w:rFonts w:hint="eastAsia" w:ascii="宋体" w:hAnsi="宋体" w:cs="宋体"/>
                      <w:kern w:val="0"/>
                      <w:szCs w:val="21"/>
                    </w:rPr>
                  </w:pPr>
                  <w:r>
                    <w:rPr>
                      <w:rFonts w:hint="eastAsia" w:ascii="宋体" w:hAnsi="宋体" w:cs="宋体"/>
                      <w:kern w:val="0"/>
                      <w:szCs w:val="21"/>
                    </w:rPr>
                    <w:t>天津华诚认证有限公司</w:t>
                  </w:r>
                </w:p>
              </w:tc>
            </w:tr>
          </w:tbl>
          <w:p w14:paraId="12C590E6">
            <w:pPr>
              <w:autoSpaceDE w:val="0"/>
              <w:autoSpaceDN w:val="0"/>
              <w:spacing w:line="360" w:lineRule="auto"/>
              <w:jc w:val="left"/>
              <w:rPr>
                <w:rFonts w:hint="eastAsia" w:ascii="宋体" w:hAnsi="宋体" w:cs="宋体"/>
                <w:b/>
                <w:bCs/>
                <w:sz w:val="24"/>
              </w:rPr>
            </w:pPr>
            <w:r>
              <w:rPr>
                <w:rFonts w:hint="eastAsia" w:ascii="宋体" w:hAnsi="宋体" w:cs="宋体"/>
                <w:b/>
                <w:bCs/>
                <w:sz w:val="24"/>
              </w:rPr>
              <w:t>三、关于对本国产品的支持政策</w:t>
            </w:r>
          </w:p>
          <w:p w14:paraId="40547FE7">
            <w:pPr>
              <w:tabs>
                <w:tab w:val="left" w:pos="360"/>
              </w:tabs>
              <w:spacing w:line="360" w:lineRule="auto"/>
              <w:ind w:firstLine="480" w:firstLineChars="200"/>
              <w:rPr>
                <w:rFonts w:hint="eastAsia" w:ascii="宋体" w:hAnsi="宋体" w:cs="宋体"/>
                <w:sz w:val="24"/>
              </w:rPr>
            </w:pPr>
            <w:r>
              <w:rPr>
                <w:rFonts w:hint="eastAsia" w:ascii="宋体" w:hAnsi="宋体" w:cs="宋体"/>
                <w:sz w:val="24"/>
              </w:rPr>
              <w:t>3.1根据《国务院办公厅关于在政府采购中实施本国产品标准及相关政策的通知》（国办发〔2025〕34号）的规定，对在本国产品标准的适用范围：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4BB8B2D">
            <w:pPr>
              <w:spacing w:line="360" w:lineRule="auto"/>
              <w:ind w:firstLine="480" w:firstLineChars="200"/>
              <w:rPr>
                <w:rFonts w:hint="eastAsia" w:ascii="宋体" w:hAnsi="宋体" w:cs="宋体"/>
                <w:sz w:val="24"/>
              </w:rPr>
            </w:pPr>
            <w:r>
              <w:rPr>
                <w:rFonts w:hint="eastAsia" w:ascii="宋体" w:hAnsi="宋体" w:cs="宋体"/>
                <w:sz w:val="24"/>
              </w:rPr>
              <w:t>3.2政府采购活动中既有本国产品又有非本国产品参与竞争的，依法对本国产品给予价格评审优惠，对本国产品的报价给予20%的价格扣除，用扣除后的价格参与评审。</w:t>
            </w:r>
          </w:p>
          <w:p w14:paraId="29D6F10D">
            <w:pPr>
              <w:spacing w:line="360" w:lineRule="auto"/>
              <w:ind w:firstLine="480" w:firstLineChars="200"/>
            </w:pPr>
            <w:r>
              <w:rPr>
                <w:rFonts w:hint="eastAsia" w:ascii="宋体" w:hAnsi="宋体" w:cs="宋体"/>
                <w:sz w:val="24"/>
              </w:rPr>
              <w:t>3.3当采购项目中含有多种产品，投标人为该采购项目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tc>
      </w:tr>
      <w:tr w14:paraId="0DD3850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423" w:type="dxa"/>
            <w:tcBorders>
              <w:top w:val="single" w:color="000000" w:sz="6" w:space="0"/>
              <w:bottom w:val="single" w:color="000000" w:sz="6" w:space="0"/>
            </w:tcBorders>
            <w:shd w:val="solid" w:color="FFFFFF" w:fill="auto"/>
            <w:tcMar>
              <w:top w:w="0" w:type="dxa"/>
              <w:left w:w="0" w:type="dxa"/>
              <w:bottom w:w="0" w:type="dxa"/>
              <w:right w:w="0" w:type="dxa"/>
            </w:tcMar>
            <w:vAlign w:val="center"/>
          </w:tcPr>
          <w:p w14:paraId="76A3A736">
            <w:pPr>
              <w:spacing w:line="360" w:lineRule="auto"/>
              <w:jc w:val="center"/>
              <w:rPr>
                <w:rFonts w:hint="eastAsia" w:ascii="宋体" w:hAnsi="宋体" w:cs="宋体"/>
                <w:sz w:val="24"/>
              </w:rPr>
            </w:pPr>
            <w:r>
              <w:rPr>
                <w:rFonts w:hint="eastAsia" w:ascii="宋体" w:hAnsi="宋体" w:cs="宋体"/>
                <w:sz w:val="24"/>
              </w:rPr>
              <w:t>29</w:t>
            </w:r>
          </w:p>
        </w:tc>
        <w:tc>
          <w:tcPr>
            <w:tcW w:w="1824" w:type="dxa"/>
            <w:tcBorders>
              <w:top w:val="single" w:color="000000" w:sz="6" w:space="0"/>
              <w:left w:val="single" w:color="000000" w:sz="6" w:space="0"/>
              <w:bottom w:val="single" w:color="000000" w:sz="6" w:space="0"/>
            </w:tcBorders>
            <w:shd w:val="solid" w:color="FFFFFF" w:fill="auto"/>
            <w:tcMar>
              <w:top w:w="0" w:type="dxa"/>
              <w:left w:w="0" w:type="dxa"/>
              <w:bottom w:w="0" w:type="dxa"/>
              <w:right w:w="0" w:type="dxa"/>
            </w:tcMar>
            <w:vAlign w:val="center"/>
          </w:tcPr>
          <w:p w14:paraId="7F52B853">
            <w:pPr>
              <w:autoSpaceDE w:val="0"/>
              <w:autoSpaceDN w:val="0"/>
              <w:spacing w:line="360" w:lineRule="auto"/>
              <w:jc w:val="center"/>
              <w:rPr>
                <w:rFonts w:hint="eastAsia" w:ascii="宋体" w:hAnsi="宋体" w:cs="宋体"/>
                <w:b/>
                <w:bCs/>
                <w:sz w:val="24"/>
              </w:rPr>
            </w:pPr>
            <w:r>
              <w:rPr>
                <w:rFonts w:hint="eastAsia" w:ascii="宋体" w:hAnsi="宋体" w:cs="宋体"/>
                <w:b/>
                <w:bCs/>
                <w:sz w:val="24"/>
              </w:rPr>
              <w:t>付款方式</w:t>
            </w:r>
          </w:p>
        </w:tc>
        <w:tc>
          <w:tcPr>
            <w:tcW w:w="7838" w:type="dxa"/>
            <w:gridSpan w:val="2"/>
            <w:tcBorders>
              <w:top w:val="single" w:color="000000" w:sz="6" w:space="0"/>
              <w:left w:val="single" w:color="000000" w:sz="6" w:space="0"/>
              <w:bottom w:val="single" w:color="000000" w:sz="6" w:space="0"/>
            </w:tcBorders>
            <w:shd w:val="solid" w:color="FFFFFF" w:fill="auto"/>
            <w:tcMar>
              <w:top w:w="0" w:type="dxa"/>
              <w:left w:w="0" w:type="dxa"/>
              <w:bottom w:w="0" w:type="dxa"/>
              <w:right w:w="0" w:type="dxa"/>
            </w:tcMar>
            <w:vAlign w:val="center"/>
          </w:tcPr>
          <w:p w14:paraId="23765625">
            <w:pPr>
              <w:autoSpaceDE w:val="0"/>
              <w:autoSpaceDN w:val="0"/>
              <w:spacing w:line="360" w:lineRule="auto"/>
              <w:jc w:val="left"/>
              <w:rPr>
                <w:rFonts w:hint="eastAsia" w:ascii="宋体" w:hAnsi="宋体" w:cs="宋体"/>
                <w:b/>
                <w:bCs/>
                <w:sz w:val="24"/>
              </w:rPr>
            </w:pPr>
            <w:r>
              <w:rPr>
                <w:rFonts w:hint="eastAsia" w:ascii="宋体" w:hAnsi="宋体" w:cs="宋体"/>
                <w:b/>
                <w:kern w:val="0"/>
                <w:sz w:val="24"/>
              </w:rPr>
              <w:t>合同签订后甲方自收到发票后10个工作日内，甲方向乙方支付合同价款的</w:t>
            </w:r>
            <w:r>
              <w:rPr>
                <w:rFonts w:hint="eastAsia" w:ascii="宋体" w:hAnsi="宋体" w:cs="宋体"/>
                <w:b/>
                <w:kern w:val="0"/>
                <w:sz w:val="24"/>
                <w:u w:val="single"/>
              </w:rPr>
              <w:t>30％</w:t>
            </w:r>
            <w:r>
              <w:rPr>
                <w:rFonts w:hint="eastAsia" w:ascii="宋体" w:hAnsi="宋体" w:cs="宋体"/>
                <w:b/>
                <w:kern w:val="0"/>
                <w:sz w:val="24"/>
              </w:rPr>
              <w:t>；项目验收合格，收到发票后10个工作日内甲方向乙方支付合同价款的</w:t>
            </w:r>
            <w:r>
              <w:rPr>
                <w:rFonts w:hint="eastAsia" w:ascii="宋体" w:hAnsi="宋体" w:cs="宋体"/>
                <w:b/>
                <w:kern w:val="0"/>
                <w:sz w:val="24"/>
                <w:u w:val="single"/>
              </w:rPr>
              <w:t>70％</w:t>
            </w:r>
            <w:r>
              <w:rPr>
                <w:rFonts w:hint="eastAsia" w:ascii="宋体" w:hAnsi="宋体" w:cs="宋体"/>
                <w:b/>
                <w:kern w:val="0"/>
                <w:sz w:val="24"/>
              </w:rPr>
              <w:t>。甲方付款以乙方已经开具符合甲方要求的合法等额增值税发票/普通发票为前提，若乙方没有提供同等金额的发票，甲方有权拒绝付款，造成的延迟付款不视为违约。</w:t>
            </w:r>
          </w:p>
        </w:tc>
      </w:tr>
      <w:tr w14:paraId="67FAB36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423" w:type="dxa"/>
            <w:tcBorders>
              <w:top w:val="single" w:color="000000" w:sz="6" w:space="0"/>
              <w:bottom w:val="single" w:color="000000" w:sz="6" w:space="0"/>
            </w:tcBorders>
            <w:shd w:val="solid" w:color="FFFFFF" w:fill="auto"/>
            <w:tcMar>
              <w:top w:w="0" w:type="dxa"/>
              <w:left w:w="0" w:type="dxa"/>
              <w:bottom w:w="0" w:type="dxa"/>
              <w:right w:w="0" w:type="dxa"/>
            </w:tcMar>
            <w:vAlign w:val="center"/>
          </w:tcPr>
          <w:p w14:paraId="06A28714">
            <w:pPr>
              <w:spacing w:line="360" w:lineRule="auto"/>
              <w:jc w:val="center"/>
              <w:rPr>
                <w:rFonts w:hint="eastAsia" w:ascii="宋体" w:hAnsi="宋体" w:cs="宋体"/>
                <w:sz w:val="24"/>
              </w:rPr>
            </w:pPr>
            <w:r>
              <w:rPr>
                <w:rFonts w:hint="eastAsia" w:ascii="宋体" w:hAnsi="宋体" w:cs="宋体"/>
                <w:sz w:val="24"/>
              </w:rPr>
              <w:t>30</w:t>
            </w:r>
          </w:p>
        </w:tc>
        <w:tc>
          <w:tcPr>
            <w:tcW w:w="1824" w:type="dxa"/>
            <w:tcBorders>
              <w:top w:val="single" w:color="000000" w:sz="6" w:space="0"/>
              <w:left w:val="single" w:color="000000" w:sz="6" w:space="0"/>
              <w:bottom w:val="single" w:color="000000" w:sz="6" w:space="0"/>
            </w:tcBorders>
            <w:shd w:val="solid" w:color="FFFFFF" w:fill="auto"/>
            <w:tcMar>
              <w:top w:w="0" w:type="dxa"/>
              <w:left w:w="0" w:type="dxa"/>
              <w:bottom w:w="0" w:type="dxa"/>
              <w:right w:w="0" w:type="dxa"/>
            </w:tcMar>
            <w:vAlign w:val="center"/>
          </w:tcPr>
          <w:p w14:paraId="2424CC94">
            <w:pPr>
              <w:autoSpaceDE w:val="0"/>
              <w:autoSpaceDN w:val="0"/>
              <w:spacing w:line="360" w:lineRule="auto"/>
              <w:jc w:val="center"/>
              <w:rPr>
                <w:rFonts w:hint="eastAsia" w:ascii="宋体" w:hAnsi="宋体" w:cs="宋体"/>
                <w:b/>
                <w:bCs/>
                <w:sz w:val="24"/>
              </w:rPr>
            </w:pPr>
            <w:r>
              <w:rPr>
                <w:rFonts w:hint="eastAsia" w:ascii="宋体" w:hAnsi="宋体" w:cs="宋体"/>
                <w:b/>
                <w:bCs/>
                <w:sz w:val="24"/>
              </w:rPr>
              <w:t>其他</w:t>
            </w:r>
          </w:p>
        </w:tc>
        <w:tc>
          <w:tcPr>
            <w:tcW w:w="7838" w:type="dxa"/>
            <w:gridSpan w:val="2"/>
            <w:tcBorders>
              <w:top w:val="single" w:color="000000" w:sz="6" w:space="0"/>
              <w:left w:val="single" w:color="000000" w:sz="6" w:space="0"/>
              <w:bottom w:val="single" w:color="000000" w:sz="6" w:space="0"/>
            </w:tcBorders>
            <w:shd w:val="solid" w:color="FFFFFF" w:fill="auto"/>
            <w:tcMar>
              <w:top w:w="0" w:type="dxa"/>
              <w:left w:w="0" w:type="dxa"/>
              <w:bottom w:w="0" w:type="dxa"/>
              <w:right w:w="0" w:type="dxa"/>
            </w:tcMar>
            <w:vAlign w:val="center"/>
          </w:tcPr>
          <w:p w14:paraId="32C91A17">
            <w:pPr>
              <w:autoSpaceDE w:val="0"/>
              <w:autoSpaceDN w:val="0"/>
              <w:spacing w:line="360" w:lineRule="auto"/>
              <w:jc w:val="left"/>
              <w:rPr>
                <w:rFonts w:hint="eastAsia" w:ascii="宋体" w:hAnsi="宋体" w:cs="宋体"/>
                <w:b/>
                <w:kern w:val="0"/>
                <w:sz w:val="24"/>
              </w:rPr>
            </w:pPr>
            <w:r>
              <w:rPr>
                <w:rFonts w:hint="eastAsia" w:ascii="宋体" w:hAnsi="宋体" w:cs="宋体"/>
                <w:b/>
                <w:sz w:val="24"/>
                <w:lang w:bidi="ar"/>
              </w:rPr>
              <w:t>★</w:t>
            </w:r>
            <w:r>
              <w:rPr>
                <w:rFonts w:hint="eastAsia" w:ascii="宋体" w:hAnsi="宋体" w:cs="宋体"/>
                <w:b/>
                <w:kern w:val="0"/>
                <w:sz w:val="24"/>
              </w:rPr>
              <w:t>各潜在投标人在上传投标文件过程中，在“商务技术文件”部分需上传完整的投标文件，包括（但不限于）：封面、资格文件、报价文件、商务技术文件等。</w:t>
            </w:r>
          </w:p>
        </w:tc>
      </w:tr>
    </w:tbl>
    <w:p w14:paraId="17C16876">
      <w:pPr>
        <w:pStyle w:val="2"/>
        <w:spacing w:line="360" w:lineRule="auto"/>
        <w:rPr>
          <w:rFonts w:hint="eastAsia" w:ascii="宋体" w:hAnsi="宋体" w:cs="宋体"/>
          <w:b/>
          <w:bCs/>
          <w:sz w:val="28"/>
          <w:szCs w:val="28"/>
        </w:rPr>
        <w:sectPr>
          <w:footerReference r:id="rId4" w:type="default"/>
          <w:pgSz w:w="11906" w:h="16838"/>
          <w:pgMar w:top="1440" w:right="1800" w:bottom="1440" w:left="1800" w:header="851" w:footer="992" w:gutter="0"/>
          <w:pgNumType w:fmt="decimal" w:start="1"/>
          <w:cols w:space="425" w:num="1"/>
          <w:docGrid w:type="lines" w:linePitch="312" w:charSpace="0"/>
        </w:sectPr>
      </w:pPr>
    </w:p>
    <w:p w14:paraId="71D13BE0">
      <w:pPr>
        <w:pStyle w:val="2"/>
        <w:spacing w:line="360" w:lineRule="auto"/>
        <w:rPr>
          <w:rFonts w:hint="eastAsia" w:ascii="宋体" w:hAnsi="宋体" w:cs="宋体"/>
          <w:b/>
          <w:bCs/>
          <w:sz w:val="28"/>
          <w:szCs w:val="28"/>
        </w:rPr>
      </w:pPr>
      <w:r>
        <w:rPr>
          <w:rFonts w:hint="eastAsia" w:ascii="宋体" w:hAnsi="宋体" w:cs="宋体"/>
          <w:b/>
          <w:bCs/>
          <w:sz w:val="28"/>
          <w:szCs w:val="28"/>
        </w:rPr>
        <w:t>一、总  则</w:t>
      </w:r>
    </w:p>
    <w:p w14:paraId="02F2E562">
      <w:pPr>
        <w:spacing w:line="360" w:lineRule="auto"/>
        <w:jc w:val="left"/>
        <w:rPr>
          <w:rFonts w:hint="eastAsia" w:ascii="宋体" w:hAnsi="宋体" w:cs="宋体"/>
          <w:b/>
          <w:sz w:val="24"/>
        </w:rPr>
      </w:pPr>
      <w:r>
        <w:rPr>
          <w:rFonts w:hint="eastAsia" w:ascii="宋体" w:hAnsi="宋体" w:cs="宋体"/>
          <w:b/>
          <w:sz w:val="24"/>
        </w:rPr>
        <w:t>1.1采购方式</w:t>
      </w:r>
    </w:p>
    <w:p w14:paraId="3B568E62">
      <w:pPr>
        <w:spacing w:line="360" w:lineRule="auto"/>
        <w:ind w:firstLine="425"/>
        <w:jc w:val="left"/>
        <w:rPr>
          <w:rFonts w:hint="eastAsia" w:ascii="宋体" w:hAnsi="宋体" w:cs="宋体"/>
          <w:sz w:val="24"/>
        </w:rPr>
      </w:pPr>
      <w:r>
        <w:rPr>
          <w:rFonts w:hint="eastAsia" w:ascii="宋体" w:hAnsi="宋体" w:cs="宋体"/>
          <w:sz w:val="24"/>
        </w:rPr>
        <w:t>1.1.1本项目按《中华人民共和国政府采购法》《中华人民共和国政府采购法实施条例》《政府采购货物和服务招标投标管理办法》等规定执行，以公开招标采购方式进行采购。</w:t>
      </w:r>
    </w:p>
    <w:p w14:paraId="02A11EC6">
      <w:pPr>
        <w:spacing w:line="360" w:lineRule="auto"/>
        <w:ind w:firstLine="425"/>
        <w:jc w:val="left"/>
        <w:rPr>
          <w:rFonts w:hint="eastAsia" w:ascii="宋体" w:hAnsi="宋体" w:cs="宋体"/>
          <w:sz w:val="24"/>
        </w:rPr>
      </w:pPr>
      <w:r>
        <w:rPr>
          <w:rFonts w:hint="eastAsia" w:ascii="宋体" w:hAnsi="宋体" w:cs="宋体"/>
          <w:sz w:val="24"/>
        </w:rPr>
        <w:t>1.1.2公开招标，是指采购人依法以招标公告的方式邀请非特定的投标人参加投标的采购方式。</w:t>
      </w:r>
    </w:p>
    <w:p w14:paraId="7A263BE3">
      <w:pPr>
        <w:pStyle w:val="12"/>
        <w:spacing w:line="360" w:lineRule="auto"/>
        <w:ind w:left="243" w:hanging="243" w:hangingChars="101"/>
        <w:jc w:val="left"/>
        <w:rPr>
          <w:rFonts w:hint="eastAsia" w:hAnsi="宋体" w:cs="宋体"/>
          <w:b/>
          <w:sz w:val="24"/>
          <w:szCs w:val="24"/>
        </w:rPr>
      </w:pPr>
      <w:r>
        <w:rPr>
          <w:rFonts w:hint="eastAsia" w:hAnsi="宋体" w:cs="宋体"/>
          <w:b/>
          <w:sz w:val="24"/>
          <w:szCs w:val="24"/>
        </w:rPr>
        <w:t>1.2采购项目概况</w:t>
      </w:r>
    </w:p>
    <w:p w14:paraId="27D468E2">
      <w:pPr>
        <w:pStyle w:val="12"/>
        <w:spacing w:line="360" w:lineRule="auto"/>
        <w:ind w:firstLine="480" w:firstLineChars="200"/>
        <w:jc w:val="left"/>
        <w:rPr>
          <w:rFonts w:hint="eastAsia" w:hAnsi="宋体" w:cs="宋体"/>
          <w:bCs/>
        </w:rPr>
      </w:pPr>
      <w:r>
        <w:rPr>
          <w:rFonts w:hint="eastAsia" w:hAnsi="宋体" w:cs="宋体"/>
          <w:bCs/>
          <w:sz w:val="24"/>
          <w:szCs w:val="24"/>
        </w:rPr>
        <w:t>1.2.1采购人、项目名称及项目编号，详见“投标人须知前附表”。</w:t>
      </w:r>
    </w:p>
    <w:p w14:paraId="1AC8626C">
      <w:pPr>
        <w:spacing w:line="360" w:lineRule="auto"/>
        <w:ind w:firstLine="480" w:firstLineChars="200"/>
        <w:jc w:val="left"/>
        <w:rPr>
          <w:rFonts w:hint="eastAsia" w:ascii="宋体" w:hAnsi="宋体" w:cs="宋体"/>
          <w:bCs/>
          <w:sz w:val="24"/>
        </w:rPr>
      </w:pPr>
      <w:r>
        <w:rPr>
          <w:rFonts w:hint="eastAsia" w:ascii="宋体" w:hAnsi="宋体" w:cs="宋体"/>
          <w:bCs/>
          <w:sz w:val="24"/>
        </w:rPr>
        <w:t>1.2.2资金来源情况：已落实，用于采购“采购需求</w:t>
      </w:r>
      <w:r>
        <w:rPr>
          <w:rFonts w:hint="eastAsia" w:ascii="宋体" w:hAnsi="宋体" w:cs="宋体"/>
          <w:b/>
          <w:sz w:val="24"/>
        </w:rPr>
        <w:t>及</w:t>
      </w:r>
      <w:r>
        <w:rPr>
          <w:rFonts w:hint="eastAsia" w:ascii="宋体" w:hAnsi="宋体" w:cs="宋体"/>
          <w:bCs/>
          <w:sz w:val="24"/>
        </w:rPr>
        <w:t>技术参数要求”所列货物。</w:t>
      </w:r>
    </w:p>
    <w:p w14:paraId="1474852E">
      <w:pPr>
        <w:spacing w:line="360" w:lineRule="auto"/>
        <w:ind w:firstLine="480" w:firstLineChars="200"/>
        <w:jc w:val="left"/>
        <w:rPr>
          <w:rFonts w:hint="eastAsia" w:ascii="宋体" w:hAnsi="宋体" w:cs="宋体"/>
          <w:sz w:val="24"/>
        </w:rPr>
      </w:pPr>
      <w:r>
        <w:rPr>
          <w:rFonts w:hint="eastAsia" w:ascii="宋体" w:hAnsi="宋体" w:cs="宋体"/>
          <w:sz w:val="24"/>
        </w:rPr>
        <w:t>1.2.3本项目采购范围：见“投标人须知前附表”。</w:t>
      </w:r>
    </w:p>
    <w:p w14:paraId="5525F52D">
      <w:pPr>
        <w:spacing w:line="360" w:lineRule="auto"/>
        <w:ind w:firstLine="480" w:firstLineChars="200"/>
        <w:jc w:val="left"/>
        <w:rPr>
          <w:rFonts w:hint="eastAsia" w:ascii="宋体" w:hAnsi="宋体" w:cs="宋体"/>
          <w:sz w:val="24"/>
        </w:rPr>
      </w:pPr>
      <w:r>
        <w:rPr>
          <w:rFonts w:hint="eastAsia" w:ascii="宋体" w:hAnsi="宋体" w:cs="宋体"/>
          <w:sz w:val="24"/>
        </w:rPr>
        <w:t>1.2.4本项目交货期和交货地点：见“投标人须知前附表”。</w:t>
      </w:r>
    </w:p>
    <w:p w14:paraId="2C3B936B">
      <w:pPr>
        <w:spacing w:line="360" w:lineRule="auto"/>
        <w:ind w:firstLine="480" w:firstLineChars="200"/>
        <w:jc w:val="left"/>
        <w:rPr>
          <w:rFonts w:hint="eastAsia" w:ascii="宋体" w:hAnsi="宋体" w:cs="宋体"/>
          <w:sz w:val="24"/>
        </w:rPr>
      </w:pPr>
      <w:r>
        <w:rPr>
          <w:rFonts w:hint="eastAsia" w:ascii="宋体" w:hAnsi="宋体" w:cs="宋体"/>
          <w:sz w:val="24"/>
        </w:rPr>
        <w:t>1.2.5本项目质量标准：见“投标人须知前附表”。</w:t>
      </w:r>
    </w:p>
    <w:p w14:paraId="04934212">
      <w:pPr>
        <w:spacing w:line="360" w:lineRule="auto"/>
        <w:jc w:val="left"/>
        <w:rPr>
          <w:rFonts w:hint="eastAsia" w:ascii="宋体" w:hAnsi="宋体" w:cs="宋体"/>
          <w:b/>
          <w:sz w:val="24"/>
        </w:rPr>
      </w:pPr>
      <w:r>
        <w:rPr>
          <w:rFonts w:hint="eastAsia" w:ascii="宋体" w:hAnsi="宋体" w:cs="宋体"/>
          <w:b/>
          <w:sz w:val="24"/>
        </w:rPr>
        <w:t>1.3合格的投标人</w:t>
      </w:r>
    </w:p>
    <w:p w14:paraId="205A69FC">
      <w:pPr>
        <w:spacing w:line="360" w:lineRule="auto"/>
        <w:ind w:firstLine="480" w:firstLineChars="200"/>
        <w:jc w:val="left"/>
        <w:rPr>
          <w:rFonts w:hint="eastAsia" w:ascii="宋体" w:hAnsi="宋体" w:cs="宋体"/>
          <w:bCs/>
          <w:sz w:val="24"/>
        </w:rPr>
      </w:pPr>
      <w:r>
        <w:rPr>
          <w:rFonts w:hint="eastAsia" w:ascii="宋体" w:hAnsi="宋体" w:cs="宋体"/>
          <w:bCs/>
          <w:sz w:val="24"/>
        </w:rPr>
        <w:t>1.3.1投标人应符合招标文件“投标人须知前附表”中规定的资格条件。</w:t>
      </w:r>
    </w:p>
    <w:p w14:paraId="47A099ED">
      <w:pPr>
        <w:spacing w:line="360" w:lineRule="auto"/>
        <w:ind w:firstLine="480" w:firstLineChars="200"/>
        <w:jc w:val="left"/>
        <w:rPr>
          <w:rFonts w:hint="eastAsia" w:ascii="宋体" w:hAnsi="宋体" w:cs="宋体"/>
          <w:bCs/>
          <w:sz w:val="24"/>
        </w:rPr>
      </w:pPr>
      <w:r>
        <w:rPr>
          <w:rFonts w:hint="eastAsia" w:ascii="宋体" w:hAnsi="宋体" w:cs="宋体"/>
          <w:bCs/>
          <w:sz w:val="24"/>
        </w:rPr>
        <w:t>1.3.2 单位负责人为同一人或者存在直接控股、管理关系的不同投标单位，不得参加同一合同项下的政府采购活动；为采购项目提供整体设计、规范编制或者项目管理、监理、检测等服务的投标单位，不得再参加该采购项目的其他采购活动；</w:t>
      </w:r>
    </w:p>
    <w:p w14:paraId="773DE778">
      <w:pPr>
        <w:spacing w:line="360" w:lineRule="auto"/>
        <w:jc w:val="left"/>
        <w:rPr>
          <w:rFonts w:hint="eastAsia" w:ascii="宋体" w:hAnsi="宋体" w:cs="宋体"/>
          <w:b/>
          <w:sz w:val="24"/>
        </w:rPr>
      </w:pPr>
      <w:r>
        <w:rPr>
          <w:rFonts w:hint="eastAsia" w:ascii="宋体" w:hAnsi="宋体" w:cs="宋体"/>
          <w:b/>
          <w:sz w:val="24"/>
        </w:rPr>
        <w:t>1.4保密</w:t>
      </w:r>
    </w:p>
    <w:p w14:paraId="1CE5E6A6">
      <w:pPr>
        <w:spacing w:line="360" w:lineRule="auto"/>
        <w:ind w:firstLine="425"/>
        <w:rPr>
          <w:rFonts w:hint="eastAsia" w:ascii="宋体" w:hAnsi="宋体" w:cs="宋体"/>
          <w:bCs/>
          <w:sz w:val="24"/>
        </w:rPr>
      </w:pPr>
      <w:r>
        <w:rPr>
          <w:rFonts w:hint="eastAsia" w:ascii="宋体" w:hAnsi="宋体" w:cs="宋体"/>
          <w:bCs/>
          <w:sz w:val="24"/>
        </w:rPr>
        <w:t>参加公开招标采购活动的各方应对招标文件和投标文件中的商业和技术等秘密保密，否则应承担相应的法律责任。</w:t>
      </w:r>
    </w:p>
    <w:p w14:paraId="3ACE321E">
      <w:pPr>
        <w:spacing w:line="360" w:lineRule="auto"/>
        <w:jc w:val="left"/>
        <w:rPr>
          <w:rFonts w:hint="eastAsia" w:ascii="宋体" w:hAnsi="宋体" w:cs="宋体"/>
          <w:b/>
          <w:sz w:val="24"/>
        </w:rPr>
      </w:pPr>
      <w:r>
        <w:rPr>
          <w:rFonts w:hint="eastAsia" w:ascii="宋体" w:hAnsi="宋体" w:cs="宋体"/>
          <w:b/>
          <w:sz w:val="24"/>
        </w:rPr>
        <w:t>1.5语言文字</w:t>
      </w:r>
    </w:p>
    <w:p w14:paraId="13656B23">
      <w:pPr>
        <w:spacing w:line="360" w:lineRule="auto"/>
        <w:ind w:firstLine="425"/>
        <w:rPr>
          <w:rFonts w:hint="eastAsia" w:ascii="宋体" w:hAnsi="宋体" w:cs="宋体"/>
          <w:bCs/>
          <w:sz w:val="24"/>
        </w:rPr>
      </w:pPr>
      <w:r>
        <w:rPr>
          <w:rFonts w:hint="eastAsia" w:ascii="宋体" w:hAnsi="宋体" w:cs="宋体"/>
          <w:bCs/>
          <w:sz w:val="24"/>
        </w:rPr>
        <w:t>招标文件和投标文件使用的语言文字为中文。专用术语使用外文的，应附有中文注释。</w:t>
      </w:r>
    </w:p>
    <w:p w14:paraId="34CBE712">
      <w:pPr>
        <w:spacing w:line="360" w:lineRule="auto"/>
        <w:jc w:val="left"/>
        <w:rPr>
          <w:rFonts w:hint="eastAsia" w:ascii="宋体" w:hAnsi="宋体" w:cs="宋体"/>
          <w:b/>
          <w:sz w:val="24"/>
        </w:rPr>
      </w:pPr>
      <w:r>
        <w:rPr>
          <w:rFonts w:hint="eastAsia" w:ascii="宋体" w:hAnsi="宋体" w:cs="宋体"/>
          <w:b/>
          <w:sz w:val="24"/>
        </w:rPr>
        <w:t>1.6 计量单位</w:t>
      </w:r>
    </w:p>
    <w:p w14:paraId="0D6C70B6">
      <w:pPr>
        <w:spacing w:line="360" w:lineRule="auto"/>
        <w:ind w:firstLine="425"/>
        <w:rPr>
          <w:rFonts w:hint="eastAsia" w:ascii="宋体" w:hAnsi="宋体" w:cs="宋体"/>
          <w:bCs/>
          <w:sz w:val="24"/>
        </w:rPr>
      </w:pPr>
      <w:r>
        <w:rPr>
          <w:rFonts w:hint="eastAsia" w:ascii="宋体" w:hAnsi="宋体" w:cs="宋体"/>
          <w:bCs/>
          <w:sz w:val="24"/>
        </w:rPr>
        <w:t>所有计量均采用中华人民共和国法定计量单位。</w:t>
      </w:r>
    </w:p>
    <w:p w14:paraId="142CC16C">
      <w:pPr>
        <w:spacing w:line="360" w:lineRule="auto"/>
        <w:jc w:val="left"/>
        <w:rPr>
          <w:rFonts w:hint="eastAsia" w:ascii="宋体" w:hAnsi="宋体" w:cs="宋体"/>
          <w:b/>
          <w:sz w:val="24"/>
        </w:rPr>
      </w:pPr>
      <w:r>
        <w:rPr>
          <w:rFonts w:hint="eastAsia" w:ascii="宋体" w:hAnsi="宋体" w:cs="宋体"/>
          <w:b/>
          <w:sz w:val="24"/>
        </w:rPr>
        <w:t>1.7投标费用</w:t>
      </w:r>
    </w:p>
    <w:p w14:paraId="140514C5">
      <w:pPr>
        <w:pStyle w:val="12"/>
        <w:spacing w:line="360" w:lineRule="auto"/>
        <w:ind w:firstLine="480" w:firstLineChars="200"/>
        <w:rPr>
          <w:rFonts w:hint="eastAsia" w:hAnsi="宋体" w:cs="宋体"/>
          <w:sz w:val="24"/>
          <w:szCs w:val="24"/>
        </w:rPr>
      </w:pPr>
      <w:r>
        <w:rPr>
          <w:rFonts w:hint="eastAsia" w:hAnsi="宋体" w:cs="宋体"/>
          <w:sz w:val="24"/>
          <w:szCs w:val="24"/>
        </w:rPr>
        <w:t>1.7.1不论投标结果如何，投标人均应自行承担所有与编写和提交投标文件有关的全部费用。</w:t>
      </w:r>
    </w:p>
    <w:p w14:paraId="21FA7673">
      <w:pPr>
        <w:spacing w:line="360" w:lineRule="auto"/>
        <w:ind w:firstLine="480" w:firstLineChars="200"/>
        <w:jc w:val="left"/>
        <w:rPr>
          <w:rFonts w:hint="eastAsia" w:ascii="宋体" w:hAnsi="宋体" w:cs="宋体"/>
          <w:sz w:val="24"/>
        </w:rPr>
      </w:pPr>
      <w:r>
        <w:rPr>
          <w:rFonts w:hint="eastAsia" w:ascii="宋体" w:hAnsi="宋体" w:cs="宋体"/>
          <w:sz w:val="24"/>
        </w:rPr>
        <w:t>1.7.2中标服务费：详见“投标人须知前附表”。</w:t>
      </w:r>
    </w:p>
    <w:p w14:paraId="209EEC0D">
      <w:pPr>
        <w:pStyle w:val="4"/>
        <w:spacing w:before="156" w:beforeLines="50" w:after="156" w:afterLines="50"/>
        <w:ind w:left="0" w:firstLine="0"/>
        <w:rPr>
          <w:rFonts w:hint="eastAsia" w:ascii="宋体" w:hAnsi="宋体" w:eastAsia="宋体" w:cs="宋体"/>
          <w:szCs w:val="28"/>
        </w:rPr>
      </w:pPr>
      <w:bookmarkStart w:id="74" w:name="_Toc20414"/>
      <w:bookmarkStart w:id="75" w:name="_Toc5114"/>
      <w:bookmarkStart w:id="76" w:name="_Toc26240"/>
      <w:bookmarkStart w:id="77" w:name="_Toc25063"/>
      <w:r>
        <w:rPr>
          <w:rFonts w:hint="eastAsia" w:ascii="宋体" w:hAnsi="宋体" w:eastAsia="宋体" w:cs="宋体"/>
          <w:szCs w:val="28"/>
        </w:rPr>
        <w:t>二、招标文件</w:t>
      </w:r>
      <w:bookmarkEnd w:id="74"/>
      <w:bookmarkEnd w:id="75"/>
      <w:bookmarkEnd w:id="76"/>
      <w:bookmarkEnd w:id="77"/>
    </w:p>
    <w:p w14:paraId="0BD27323">
      <w:pPr>
        <w:pStyle w:val="12"/>
        <w:spacing w:line="360" w:lineRule="auto"/>
        <w:rPr>
          <w:rFonts w:hint="eastAsia" w:hAnsi="宋体" w:cs="宋体"/>
          <w:b/>
          <w:bCs/>
          <w:sz w:val="24"/>
          <w:szCs w:val="24"/>
        </w:rPr>
      </w:pPr>
      <w:r>
        <w:rPr>
          <w:rFonts w:hint="eastAsia" w:hAnsi="宋体" w:cs="宋体"/>
          <w:b/>
          <w:bCs/>
          <w:sz w:val="24"/>
          <w:szCs w:val="24"/>
        </w:rPr>
        <w:t>2.1 招标文件构成</w:t>
      </w:r>
    </w:p>
    <w:p w14:paraId="2397B2F9">
      <w:pPr>
        <w:spacing w:line="360" w:lineRule="auto"/>
        <w:jc w:val="left"/>
        <w:rPr>
          <w:rFonts w:hint="eastAsia" w:ascii="宋体" w:hAnsi="宋体" w:cs="宋体"/>
          <w:sz w:val="24"/>
        </w:rPr>
      </w:pPr>
      <w:r>
        <w:rPr>
          <w:rFonts w:hint="eastAsia" w:ascii="宋体" w:hAnsi="宋体" w:cs="宋体"/>
          <w:sz w:val="24"/>
        </w:rPr>
        <w:t xml:space="preserve">    2.1.1要求提供的货物、采购过程及合同条款在招标文件中均有说明，招标文件共六章，各章的内容如下：</w:t>
      </w:r>
    </w:p>
    <w:p w14:paraId="0DB9C936">
      <w:pPr>
        <w:pStyle w:val="12"/>
        <w:spacing w:line="360" w:lineRule="auto"/>
        <w:rPr>
          <w:rFonts w:hint="eastAsia" w:hAnsi="宋体" w:cs="宋体"/>
          <w:sz w:val="24"/>
          <w:szCs w:val="24"/>
        </w:rPr>
      </w:pPr>
      <w:r>
        <w:rPr>
          <w:rFonts w:hint="eastAsia" w:hAnsi="宋体" w:cs="宋体"/>
          <w:b/>
          <w:bCs/>
          <w:sz w:val="24"/>
          <w:szCs w:val="24"/>
        </w:rPr>
        <w:t xml:space="preserve">    </w:t>
      </w:r>
      <w:r>
        <w:rPr>
          <w:rFonts w:hint="eastAsia" w:hAnsi="宋体" w:cs="宋体"/>
          <w:sz w:val="24"/>
          <w:szCs w:val="24"/>
        </w:rPr>
        <w:t xml:space="preserve"> </w:t>
      </w:r>
      <w:r>
        <w:fldChar w:fldCharType="begin"/>
      </w:r>
      <w:r>
        <w:instrText xml:space="preserve"> HYPERLINK \l "_Toc10815" </w:instrText>
      </w:r>
      <w:r>
        <w:fldChar w:fldCharType="separate"/>
      </w:r>
      <w:r>
        <w:rPr>
          <w:rFonts w:hint="eastAsia" w:hAnsi="宋体" w:cs="宋体"/>
          <w:sz w:val="24"/>
          <w:szCs w:val="24"/>
        </w:rPr>
        <w:t>第一章 招标公告</w:t>
      </w:r>
      <w:r>
        <w:rPr>
          <w:rFonts w:hint="eastAsia" w:hAnsi="宋体" w:cs="宋体"/>
          <w:sz w:val="24"/>
          <w:szCs w:val="24"/>
        </w:rPr>
        <w:fldChar w:fldCharType="end"/>
      </w:r>
    </w:p>
    <w:p w14:paraId="2B68CC6C">
      <w:pPr>
        <w:pStyle w:val="12"/>
        <w:spacing w:line="360" w:lineRule="auto"/>
        <w:rPr>
          <w:rFonts w:hint="eastAsia" w:hAnsi="宋体" w:cs="宋体"/>
          <w:sz w:val="24"/>
          <w:szCs w:val="24"/>
        </w:rPr>
      </w:pPr>
      <w:r>
        <w:rPr>
          <w:rFonts w:hint="eastAsia" w:hAnsi="宋体" w:cs="宋体"/>
          <w:sz w:val="24"/>
          <w:szCs w:val="24"/>
        </w:rPr>
        <w:t xml:space="preserve">     </w:t>
      </w:r>
      <w:r>
        <w:fldChar w:fldCharType="begin"/>
      </w:r>
      <w:r>
        <w:instrText xml:space="preserve"> HYPERLINK \l "_Toc18036" </w:instrText>
      </w:r>
      <w:r>
        <w:fldChar w:fldCharType="separate"/>
      </w:r>
      <w:r>
        <w:rPr>
          <w:rFonts w:hint="eastAsia" w:hAnsi="宋体" w:cs="宋体"/>
          <w:sz w:val="24"/>
          <w:szCs w:val="24"/>
        </w:rPr>
        <w:t>第二章 投标人须知</w:t>
      </w:r>
      <w:r>
        <w:rPr>
          <w:rFonts w:hint="eastAsia" w:hAnsi="宋体" w:cs="宋体"/>
          <w:sz w:val="24"/>
          <w:szCs w:val="24"/>
        </w:rPr>
        <w:fldChar w:fldCharType="end"/>
      </w:r>
    </w:p>
    <w:p w14:paraId="6E7720BA">
      <w:pPr>
        <w:pStyle w:val="12"/>
        <w:spacing w:line="360" w:lineRule="auto"/>
        <w:rPr>
          <w:rFonts w:hint="eastAsia" w:hAnsi="宋体" w:cs="宋体"/>
          <w:sz w:val="24"/>
          <w:szCs w:val="24"/>
        </w:rPr>
      </w:pPr>
      <w:r>
        <w:rPr>
          <w:rFonts w:hint="eastAsia" w:hAnsi="宋体" w:cs="宋体"/>
          <w:sz w:val="24"/>
          <w:szCs w:val="24"/>
        </w:rPr>
        <w:t xml:space="preserve">     </w:t>
      </w:r>
      <w:r>
        <w:fldChar w:fldCharType="begin"/>
      </w:r>
      <w:r>
        <w:instrText xml:space="preserve"> HYPERLINK \l "_Toc31338" </w:instrText>
      </w:r>
      <w:r>
        <w:fldChar w:fldCharType="separate"/>
      </w:r>
      <w:r>
        <w:rPr>
          <w:rFonts w:hint="eastAsia" w:hAnsi="宋体" w:cs="宋体"/>
          <w:sz w:val="24"/>
          <w:szCs w:val="24"/>
        </w:rPr>
        <w:t>第三章 合同书样式及主要条款（草案）</w:t>
      </w:r>
      <w:r>
        <w:rPr>
          <w:rFonts w:hint="eastAsia" w:hAnsi="宋体" w:cs="宋体"/>
          <w:sz w:val="24"/>
          <w:szCs w:val="24"/>
        </w:rPr>
        <w:fldChar w:fldCharType="end"/>
      </w:r>
    </w:p>
    <w:p w14:paraId="6B2F6313">
      <w:pPr>
        <w:pStyle w:val="12"/>
        <w:spacing w:line="360" w:lineRule="auto"/>
        <w:rPr>
          <w:rFonts w:hint="eastAsia" w:hAnsi="宋体" w:cs="宋体"/>
          <w:sz w:val="24"/>
          <w:szCs w:val="24"/>
        </w:rPr>
      </w:pPr>
      <w:r>
        <w:rPr>
          <w:rFonts w:hint="eastAsia" w:hAnsi="宋体" w:cs="宋体"/>
          <w:sz w:val="24"/>
          <w:szCs w:val="24"/>
        </w:rPr>
        <w:t xml:space="preserve">     </w:t>
      </w:r>
      <w:r>
        <w:fldChar w:fldCharType="begin"/>
      </w:r>
      <w:r>
        <w:instrText xml:space="preserve"> HYPERLINK \l "_Toc30130" </w:instrText>
      </w:r>
      <w:r>
        <w:fldChar w:fldCharType="separate"/>
      </w:r>
      <w:r>
        <w:rPr>
          <w:rFonts w:hint="eastAsia" w:hAnsi="宋体" w:cs="宋体"/>
          <w:sz w:val="24"/>
          <w:szCs w:val="24"/>
        </w:rPr>
        <w:t>第四章 采购需求及技术参数要求</w:t>
      </w:r>
      <w:r>
        <w:rPr>
          <w:rFonts w:hint="eastAsia" w:hAnsi="宋体" w:cs="宋体"/>
          <w:sz w:val="24"/>
          <w:szCs w:val="24"/>
        </w:rPr>
        <w:fldChar w:fldCharType="end"/>
      </w:r>
    </w:p>
    <w:p w14:paraId="13F8B223">
      <w:pPr>
        <w:pStyle w:val="12"/>
        <w:spacing w:line="360" w:lineRule="auto"/>
        <w:rPr>
          <w:rFonts w:hint="eastAsia" w:hAnsi="宋体" w:cs="宋体"/>
          <w:sz w:val="24"/>
          <w:szCs w:val="24"/>
        </w:rPr>
      </w:pPr>
      <w:r>
        <w:rPr>
          <w:rFonts w:hint="eastAsia" w:hAnsi="宋体" w:cs="宋体"/>
          <w:sz w:val="24"/>
          <w:szCs w:val="24"/>
        </w:rPr>
        <w:t xml:space="preserve">     </w:t>
      </w:r>
      <w:r>
        <w:fldChar w:fldCharType="begin"/>
      </w:r>
      <w:r>
        <w:instrText xml:space="preserve"> HYPERLINK \l "_Toc25105" </w:instrText>
      </w:r>
      <w:r>
        <w:fldChar w:fldCharType="separate"/>
      </w:r>
      <w:r>
        <w:rPr>
          <w:rFonts w:hint="eastAsia" w:hAnsi="宋体" w:cs="宋体"/>
          <w:sz w:val="24"/>
          <w:szCs w:val="24"/>
        </w:rPr>
        <w:t>第五章 评标方法（综合评分法）</w:t>
      </w:r>
      <w:r>
        <w:rPr>
          <w:rFonts w:hint="eastAsia" w:hAnsi="宋体" w:cs="宋体"/>
          <w:sz w:val="24"/>
          <w:szCs w:val="24"/>
        </w:rPr>
        <w:fldChar w:fldCharType="end"/>
      </w:r>
    </w:p>
    <w:p w14:paraId="46D6A149">
      <w:pPr>
        <w:pStyle w:val="12"/>
        <w:spacing w:line="360" w:lineRule="auto"/>
        <w:rPr>
          <w:rFonts w:hint="eastAsia" w:hAnsi="宋体" w:cs="宋体"/>
          <w:sz w:val="24"/>
          <w:szCs w:val="24"/>
        </w:rPr>
      </w:pPr>
      <w:r>
        <w:rPr>
          <w:rFonts w:hint="eastAsia" w:hAnsi="宋体" w:cs="宋体"/>
          <w:sz w:val="24"/>
          <w:szCs w:val="24"/>
        </w:rPr>
        <w:t xml:space="preserve">     </w:t>
      </w:r>
      <w:r>
        <w:fldChar w:fldCharType="begin"/>
      </w:r>
      <w:r>
        <w:instrText xml:space="preserve"> HYPERLINK \l "_Toc5080" </w:instrText>
      </w:r>
      <w:r>
        <w:fldChar w:fldCharType="separate"/>
      </w:r>
      <w:r>
        <w:rPr>
          <w:rFonts w:hint="eastAsia" w:hAnsi="宋体" w:cs="宋体"/>
          <w:sz w:val="24"/>
          <w:szCs w:val="24"/>
        </w:rPr>
        <w:t>第六章 投标文件格式</w:t>
      </w:r>
      <w:r>
        <w:rPr>
          <w:rFonts w:hint="eastAsia" w:hAnsi="宋体" w:cs="宋体"/>
          <w:sz w:val="24"/>
          <w:szCs w:val="24"/>
        </w:rPr>
        <w:fldChar w:fldCharType="end"/>
      </w:r>
    </w:p>
    <w:p w14:paraId="32F64CAE">
      <w:pPr>
        <w:spacing w:line="360" w:lineRule="auto"/>
        <w:ind w:firstLine="480" w:firstLineChars="200"/>
        <w:jc w:val="left"/>
        <w:rPr>
          <w:rFonts w:hint="eastAsia" w:ascii="宋体" w:hAnsi="宋体" w:cs="宋体"/>
          <w:sz w:val="24"/>
        </w:rPr>
      </w:pPr>
      <w:r>
        <w:rPr>
          <w:rFonts w:hint="eastAsia" w:ascii="宋体" w:hAnsi="宋体" w:cs="宋体"/>
          <w:sz w:val="24"/>
        </w:rPr>
        <w:t>2.1.2除2.1内容外，采购人在提交投标文件截止前发出的对招标文件的澄清或修改内容，均为招标文件的组成部分，对采购人、采购代理机构和投标人起约束作用。</w:t>
      </w:r>
    </w:p>
    <w:p w14:paraId="2DE87CEA">
      <w:pPr>
        <w:spacing w:line="360" w:lineRule="auto"/>
        <w:ind w:firstLine="480" w:firstLineChars="200"/>
        <w:jc w:val="left"/>
        <w:rPr>
          <w:rFonts w:hint="eastAsia" w:ascii="宋体" w:hAnsi="宋体" w:cs="宋体"/>
          <w:sz w:val="24"/>
        </w:rPr>
      </w:pPr>
      <w:r>
        <w:rPr>
          <w:rFonts w:hint="eastAsia" w:ascii="宋体" w:hAnsi="宋体" w:cs="宋体"/>
          <w:sz w:val="24"/>
        </w:rPr>
        <w:t>2.1.3投标人获取招标文件后，应仔细检查招标文件的所有内容，如有残缺等问题应在获得招标文件2日内向采购人提出，否则，由此引起的损失由投标人自己承担。投标人同时应认真审阅招标文件中所有的事项、格式、条款和规范要求等，若投标人的投标文件没有按招标文件要求提交全部资料，或投标文件没有对招标文件做出实质性响应，根据有关条款规定，该投标有可能被拒绝，其风险由投标人自行承担。</w:t>
      </w:r>
    </w:p>
    <w:p w14:paraId="4B0CDE58">
      <w:pPr>
        <w:pStyle w:val="12"/>
        <w:spacing w:line="360" w:lineRule="auto"/>
        <w:rPr>
          <w:rFonts w:hint="eastAsia" w:hAnsi="宋体" w:cs="宋体"/>
          <w:sz w:val="24"/>
          <w:szCs w:val="24"/>
        </w:rPr>
      </w:pPr>
      <w:r>
        <w:rPr>
          <w:rFonts w:hint="eastAsia" w:hAnsi="宋体" w:cs="宋体"/>
          <w:b/>
          <w:bCs/>
          <w:sz w:val="24"/>
          <w:szCs w:val="24"/>
        </w:rPr>
        <w:t>2.2招标文件的澄清、补充</w:t>
      </w:r>
    </w:p>
    <w:p w14:paraId="47BABECB">
      <w:pPr>
        <w:spacing w:line="360" w:lineRule="auto"/>
        <w:ind w:firstLine="480" w:firstLineChars="200"/>
        <w:jc w:val="left"/>
        <w:rPr>
          <w:rFonts w:hint="eastAsia" w:ascii="宋体" w:hAnsi="宋体" w:cs="宋体"/>
          <w:sz w:val="24"/>
        </w:rPr>
      </w:pPr>
      <w:r>
        <w:rPr>
          <w:rFonts w:hint="eastAsia" w:ascii="宋体" w:hAnsi="宋体" w:cs="宋体"/>
          <w:sz w:val="24"/>
        </w:rPr>
        <w:t>2.2.1投标人若对招标文件有任何疑问，应于投标截止日期前15日内凭企业数字证书（CA）登录政采云平台（http：//www.zcygov.cn），通过网络在线方式向采购人或采购代理进行提问，采购人统一解答后回复所有接收了招标文件的投标人，否则，由此产生的后果由投标人负责。</w:t>
      </w:r>
    </w:p>
    <w:p w14:paraId="62365001">
      <w:pPr>
        <w:spacing w:line="360" w:lineRule="auto"/>
        <w:ind w:firstLine="480" w:firstLineChars="200"/>
        <w:jc w:val="left"/>
        <w:rPr>
          <w:rFonts w:hint="eastAsia" w:ascii="宋体" w:hAnsi="宋体" w:cs="宋体"/>
          <w:sz w:val="24"/>
        </w:rPr>
      </w:pPr>
      <w:r>
        <w:rPr>
          <w:rFonts w:hint="eastAsia" w:ascii="宋体" w:hAnsi="宋体" w:cs="宋体"/>
          <w:sz w:val="24"/>
        </w:rPr>
        <w:t>2.2.2采购代理机构将以网上公示形式答复所有潜在投标人（答复中不包含问题的来源）要求澄清的问题，其他澄清方式为无效。</w:t>
      </w:r>
    </w:p>
    <w:p w14:paraId="58A82388">
      <w:pPr>
        <w:pStyle w:val="12"/>
        <w:spacing w:line="360" w:lineRule="auto"/>
        <w:rPr>
          <w:rFonts w:hint="eastAsia" w:hAnsi="宋体" w:cs="宋体"/>
          <w:b/>
          <w:bCs/>
          <w:sz w:val="24"/>
          <w:szCs w:val="24"/>
        </w:rPr>
      </w:pPr>
      <w:r>
        <w:rPr>
          <w:rFonts w:hint="eastAsia" w:hAnsi="宋体" w:cs="宋体"/>
          <w:b/>
          <w:bCs/>
          <w:sz w:val="24"/>
          <w:szCs w:val="24"/>
        </w:rPr>
        <w:t>2.3招标文件的修改</w:t>
      </w:r>
    </w:p>
    <w:p w14:paraId="45680B32">
      <w:pPr>
        <w:spacing w:line="360" w:lineRule="auto"/>
        <w:ind w:firstLine="480" w:firstLineChars="200"/>
        <w:jc w:val="left"/>
        <w:rPr>
          <w:rFonts w:hint="eastAsia" w:ascii="宋体" w:hAnsi="宋体" w:cs="宋体"/>
          <w:sz w:val="24"/>
        </w:rPr>
      </w:pPr>
      <w:r>
        <w:rPr>
          <w:rFonts w:hint="eastAsia" w:ascii="宋体" w:hAnsi="宋体" w:cs="宋体"/>
          <w:sz w:val="24"/>
        </w:rPr>
        <w:t>2.3.1采购人或者采购代理机构可以对已发出的招标文件进行必要的澄清或者修改。澄清或者修改的内容可能影响投标文件编制的，采购人或者采购代理机构应当在投标截止时间至少15日前，以公告形式通知所有获取招标文件的潜在投标人；不足15日的，采购人或者采购代理机构应当顺延提交投标文件的截止时间。</w:t>
      </w:r>
    </w:p>
    <w:p w14:paraId="4382617E">
      <w:pPr>
        <w:spacing w:line="360" w:lineRule="auto"/>
        <w:ind w:firstLine="480" w:firstLineChars="200"/>
        <w:jc w:val="left"/>
        <w:rPr>
          <w:rFonts w:hint="eastAsia" w:ascii="宋体" w:hAnsi="宋体" w:cs="宋体"/>
          <w:sz w:val="24"/>
        </w:rPr>
      </w:pPr>
      <w:r>
        <w:rPr>
          <w:rFonts w:hint="eastAsia" w:ascii="宋体" w:hAnsi="宋体" w:cs="宋体"/>
          <w:sz w:val="24"/>
        </w:rPr>
        <w:t>2.3.2采购代理机构和采购单位可以视采购具体情况，延长投标截止时间和开标时间，采购人或代理机构将变更时间以网上公示形式通知所有招标文件收受人，并在云南省政府采购网、政府采购云平台上发布变更公告。</w:t>
      </w:r>
    </w:p>
    <w:p w14:paraId="7BE300ED">
      <w:pPr>
        <w:spacing w:line="360" w:lineRule="auto"/>
        <w:ind w:firstLine="480" w:firstLineChars="200"/>
        <w:jc w:val="left"/>
        <w:rPr>
          <w:rFonts w:hint="eastAsia" w:ascii="宋体" w:hAnsi="宋体" w:cs="宋体"/>
          <w:sz w:val="24"/>
        </w:rPr>
      </w:pPr>
      <w:r>
        <w:rPr>
          <w:rFonts w:hint="eastAsia" w:ascii="宋体" w:hAnsi="宋体" w:cs="宋体"/>
          <w:sz w:val="24"/>
        </w:rPr>
        <w:t>2.3.3招标文件、招标文件澄清、招标文件修改文件内容均以网上发布的为准，当招标文件、招标文件澄清、招标文件修改文件内容相互矛盾时，以最后发出的为准。</w:t>
      </w:r>
    </w:p>
    <w:p w14:paraId="4EA7825A">
      <w:pPr>
        <w:pStyle w:val="4"/>
        <w:spacing w:before="156" w:beforeLines="50" w:after="156" w:afterLines="50"/>
        <w:ind w:left="0" w:firstLine="0"/>
        <w:rPr>
          <w:rFonts w:hint="eastAsia" w:ascii="宋体" w:hAnsi="宋体" w:eastAsia="宋体" w:cs="宋体"/>
          <w:szCs w:val="28"/>
        </w:rPr>
      </w:pPr>
      <w:bookmarkStart w:id="78" w:name="_Toc21794"/>
      <w:bookmarkStart w:id="79" w:name="_Toc3923"/>
      <w:bookmarkStart w:id="80" w:name="_Toc3157"/>
      <w:bookmarkStart w:id="81" w:name="_Toc10579"/>
      <w:r>
        <w:rPr>
          <w:rFonts w:hint="eastAsia" w:ascii="宋体" w:hAnsi="宋体" w:eastAsia="宋体" w:cs="宋体"/>
          <w:szCs w:val="28"/>
        </w:rPr>
        <w:t>三、投标文件</w:t>
      </w:r>
      <w:bookmarkEnd w:id="78"/>
      <w:bookmarkEnd w:id="79"/>
      <w:bookmarkEnd w:id="80"/>
      <w:bookmarkEnd w:id="81"/>
    </w:p>
    <w:p w14:paraId="0B409316">
      <w:pPr>
        <w:spacing w:line="360" w:lineRule="auto"/>
        <w:jc w:val="left"/>
        <w:rPr>
          <w:rFonts w:hint="eastAsia" w:ascii="宋体" w:hAnsi="宋体" w:cs="宋体"/>
          <w:b/>
          <w:sz w:val="24"/>
        </w:rPr>
      </w:pPr>
      <w:r>
        <w:rPr>
          <w:rFonts w:hint="eastAsia" w:ascii="宋体" w:hAnsi="宋体" w:cs="宋体"/>
          <w:b/>
          <w:sz w:val="24"/>
        </w:rPr>
        <w:t>3.1投标文件的语言及度量衡单位</w:t>
      </w:r>
    </w:p>
    <w:p w14:paraId="4757650B">
      <w:pPr>
        <w:spacing w:line="360" w:lineRule="auto"/>
        <w:ind w:firstLine="480" w:firstLineChars="200"/>
        <w:jc w:val="left"/>
        <w:rPr>
          <w:rFonts w:hint="eastAsia" w:ascii="宋体" w:hAnsi="宋体" w:cs="宋体"/>
          <w:sz w:val="24"/>
        </w:rPr>
      </w:pPr>
      <w:r>
        <w:rPr>
          <w:rFonts w:hint="eastAsia" w:ascii="宋体" w:hAnsi="宋体" w:cs="宋体"/>
          <w:sz w:val="24"/>
        </w:rPr>
        <w:t>3.1.1投标人提交的投标文件以及投标人与采购代理机构就有关投标的所有来往函电均应使用中文。投标人可以提交其他语言打印的资料，但有关的段落必须翻译成中文，在有差异和矛盾时以中文为准。字体要便于辨识。</w:t>
      </w:r>
    </w:p>
    <w:p w14:paraId="7ECC3DB8">
      <w:pPr>
        <w:spacing w:line="360" w:lineRule="auto"/>
        <w:ind w:firstLine="480" w:firstLineChars="200"/>
        <w:jc w:val="left"/>
        <w:rPr>
          <w:rFonts w:hint="eastAsia" w:ascii="宋体" w:hAnsi="宋体" w:cs="宋体"/>
          <w:sz w:val="24"/>
        </w:rPr>
      </w:pPr>
      <w:r>
        <w:rPr>
          <w:rFonts w:hint="eastAsia" w:ascii="宋体" w:hAnsi="宋体" w:cs="宋体"/>
          <w:sz w:val="24"/>
        </w:rPr>
        <w:t>3.1.2若有非中文版印刷的技术资料、资格证书等，投标人应提供符合中国有关法律、法规和规章的中文译本，并以中文译本为准。</w:t>
      </w:r>
    </w:p>
    <w:p w14:paraId="7C68BD2B">
      <w:pPr>
        <w:spacing w:line="360" w:lineRule="auto"/>
        <w:ind w:firstLine="480" w:firstLineChars="200"/>
        <w:jc w:val="left"/>
        <w:rPr>
          <w:rFonts w:hint="eastAsia" w:ascii="宋体" w:hAnsi="宋体" w:cs="宋体"/>
          <w:sz w:val="24"/>
        </w:rPr>
      </w:pPr>
      <w:r>
        <w:rPr>
          <w:rFonts w:hint="eastAsia" w:ascii="宋体" w:hAnsi="宋体" w:cs="宋体"/>
          <w:sz w:val="24"/>
        </w:rPr>
        <w:t>3.1.3投标文件中所使用的度量衡单位，除招标文件中有特殊要求外，一律采用中华人民共和国公制单位。</w:t>
      </w:r>
    </w:p>
    <w:p w14:paraId="592E083D">
      <w:pPr>
        <w:spacing w:line="360" w:lineRule="auto"/>
        <w:jc w:val="left"/>
        <w:rPr>
          <w:rFonts w:hint="eastAsia" w:ascii="宋体" w:hAnsi="宋体" w:cs="宋体"/>
          <w:b/>
          <w:sz w:val="24"/>
        </w:rPr>
      </w:pPr>
      <w:r>
        <w:rPr>
          <w:rFonts w:hint="eastAsia" w:ascii="宋体" w:hAnsi="宋体" w:cs="宋体"/>
          <w:b/>
          <w:sz w:val="24"/>
        </w:rPr>
        <w:t>3.2投标文件构成</w:t>
      </w:r>
    </w:p>
    <w:p w14:paraId="55FF0279">
      <w:pPr>
        <w:spacing w:line="360" w:lineRule="auto"/>
        <w:ind w:firstLine="480" w:firstLineChars="200"/>
        <w:jc w:val="left"/>
        <w:rPr>
          <w:rFonts w:hint="eastAsia" w:ascii="宋体" w:hAnsi="宋体" w:cs="宋体"/>
          <w:sz w:val="24"/>
        </w:rPr>
      </w:pPr>
      <w:r>
        <w:rPr>
          <w:rFonts w:hint="eastAsia" w:ascii="宋体" w:hAnsi="宋体" w:cs="宋体"/>
          <w:sz w:val="24"/>
        </w:rPr>
        <w:t>3.2.1投标人编写的投标文件应由第六章所列的内容构成。投标人在投标截止时间前和评标过程中作出的符合招标文件要求的澄清、说明和补正，构成投标文件的组成部分。</w:t>
      </w:r>
    </w:p>
    <w:p w14:paraId="330EAE87">
      <w:pPr>
        <w:spacing w:line="360" w:lineRule="auto"/>
        <w:jc w:val="left"/>
        <w:rPr>
          <w:rFonts w:hint="eastAsia" w:ascii="宋体" w:hAnsi="宋体" w:cs="宋体"/>
          <w:b/>
          <w:sz w:val="24"/>
        </w:rPr>
      </w:pPr>
      <w:r>
        <w:rPr>
          <w:rFonts w:hint="eastAsia" w:ascii="宋体" w:hAnsi="宋体" w:cs="宋体"/>
          <w:b/>
          <w:sz w:val="24"/>
        </w:rPr>
        <w:t>3.3投标报价</w:t>
      </w:r>
    </w:p>
    <w:p w14:paraId="554A5153">
      <w:pPr>
        <w:pStyle w:val="12"/>
        <w:spacing w:line="360" w:lineRule="auto"/>
        <w:ind w:firstLine="480" w:firstLineChars="200"/>
        <w:rPr>
          <w:rFonts w:hint="eastAsia" w:hAnsi="宋体" w:cs="宋体"/>
          <w:sz w:val="24"/>
          <w:szCs w:val="24"/>
        </w:rPr>
      </w:pPr>
      <w:r>
        <w:rPr>
          <w:rFonts w:hint="eastAsia" w:hAnsi="宋体" w:cs="宋体"/>
          <w:sz w:val="24"/>
          <w:szCs w:val="24"/>
        </w:rPr>
        <w:t>3.3.1投标人必须就“采购需求及技术参数要求”中的货物内容按照要求作完整唯一报价，投标人的投标报价超出最高限价或采购预算单价或合价的的按无效标处理。</w:t>
      </w:r>
    </w:p>
    <w:p w14:paraId="1F1EC6A7">
      <w:pPr>
        <w:pStyle w:val="12"/>
        <w:spacing w:line="360" w:lineRule="auto"/>
        <w:ind w:firstLine="480" w:firstLineChars="200"/>
        <w:rPr>
          <w:rFonts w:hint="eastAsia" w:hAnsi="宋体" w:cs="宋体"/>
          <w:sz w:val="24"/>
          <w:szCs w:val="24"/>
        </w:rPr>
      </w:pPr>
      <w:r>
        <w:rPr>
          <w:rFonts w:hint="eastAsia" w:hAnsi="宋体" w:cs="宋体"/>
          <w:sz w:val="24"/>
          <w:szCs w:val="24"/>
        </w:rPr>
        <w:t>3.3.2投标人应依据项目文件的要求及有关资料，按国家或行业现行技术经济标准、定额及规范，自行测算出满足本项目要求的报价。报价应是完成本项目的全部费用，包括但不仅限于设备购置和安装、项目实施、运输、装卸、培训辅导、质保期售后服务、各项税金及此次应向采购代理公司缴纳的中标服务费等费用。合同一旦签订，此价格在合同实施期间将不因市场价格等的变化而调整。该报价应考虑市场风险、政策性风险、汇率风险等因素，并能保证投标人完成履行合同所需的全部工作，该报价应符合国内行情并能保证投标人完成履行合同所需的一切工作。合同一旦签订，此合同价格在合同实施期间将不因市场设备材料价格的变化而调整。</w:t>
      </w:r>
    </w:p>
    <w:p w14:paraId="7AB7C4EA">
      <w:pPr>
        <w:pStyle w:val="12"/>
        <w:spacing w:line="360" w:lineRule="auto"/>
        <w:ind w:firstLine="480" w:firstLineChars="200"/>
        <w:rPr>
          <w:rFonts w:hint="eastAsia" w:hAnsi="宋体" w:cs="宋体"/>
          <w:sz w:val="24"/>
          <w:szCs w:val="24"/>
        </w:rPr>
      </w:pPr>
      <w:r>
        <w:rPr>
          <w:rFonts w:hint="eastAsia" w:hAnsi="宋体" w:cs="宋体"/>
          <w:sz w:val="24"/>
          <w:szCs w:val="24"/>
        </w:rPr>
        <w:t>3.3.3投标人的投标报价也不得明显低于其他通过符合性审查的投标人报价，否则按《政府采购货物和服务招标投标管理办法》（财政部令第87号）第六十条“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执行。</w:t>
      </w:r>
    </w:p>
    <w:p w14:paraId="770A3373">
      <w:pPr>
        <w:pStyle w:val="12"/>
        <w:spacing w:line="360" w:lineRule="auto"/>
        <w:ind w:firstLine="480" w:firstLineChars="200"/>
        <w:rPr>
          <w:rFonts w:hint="eastAsia" w:hAnsi="宋体" w:cs="宋体"/>
          <w:sz w:val="24"/>
          <w:szCs w:val="24"/>
        </w:rPr>
      </w:pPr>
      <w:r>
        <w:rPr>
          <w:rFonts w:hint="eastAsia" w:hAnsi="宋体" w:cs="宋体"/>
          <w:sz w:val="24"/>
          <w:szCs w:val="24"/>
        </w:rPr>
        <w:t>3.3.4投标文件中的单价、合价、总价全部采用人民币表示。</w:t>
      </w:r>
    </w:p>
    <w:p w14:paraId="5D64B916">
      <w:pPr>
        <w:pStyle w:val="12"/>
        <w:spacing w:line="360" w:lineRule="auto"/>
        <w:ind w:firstLine="482" w:firstLineChars="200"/>
        <w:rPr>
          <w:rFonts w:hint="eastAsia" w:hAnsi="宋体" w:cs="宋体"/>
          <w:b/>
          <w:bCs/>
          <w:sz w:val="24"/>
          <w:szCs w:val="24"/>
        </w:rPr>
      </w:pPr>
      <w:r>
        <w:rPr>
          <w:rFonts w:hint="eastAsia" w:hAnsi="宋体" w:cs="宋体"/>
          <w:b/>
          <w:bCs/>
          <w:sz w:val="24"/>
          <w:szCs w:val="24"/>
        </w:rPr>
        <w:t>注：异常低价问题的处理</w:t>
      </w:r>
    </w:p>
    <w:p w14:paraId="7C1D79FF">
      <w:pPr>
        <w:pStyle w:val="12"/>
        <w:spacing w:line="360" w:lineRule="auto"/>
        <w:ind w:firstLine="482" w:firstLineChars="200"/>
        <w:rPr>
          <w:rFonts w:hint="eastAsia" w:hAnsi="宋体" w:cs="宋体"/>
          <w:b/>
          <w:bCs/>
          <w:sz w:val="24"/>
          <w:szCs w:val="24"/>
        </w:rPr>
      </w:pPr>
      <w:r>
        <w:rPr>
          <w:rFonts w:hint="eastAsia" w:hAnsi="宋体" w:cs="宋体"/>
          <w:b/>
          <w:bCs/>
          <w:sz w:val="24"/>
          <w:szCs w:val="24"/>
        </w:rPr>
        <w:t xml:space="preserve">评审中出现下列情形之一的，评审委员会应当启动异常低价投标（响应）审查程序： </w:t>
      </w:r>
    </w:p>
    <w:p w14:paraId="11DE3941">
      <w:pPr>
        <w:pStyle w:val="12"/>
        <w:spacing w:line="360" w:lineRule="auto"/>
        <w:ind w:firstLine="482" w:firstLineChars="200"/>
        <w:rPr>
          <w:rFonts w:hint="eastAsia" w:hAnsi="宋体" w:cs="宋体"/>
          <w:b/>
          <w:bCs/>
          <w:sz w:val="24"/>
          <w:szCs w:val="24"/>
        </w:rPr>
      </w:pPr>
      <w:r>
        <w:rPr>
          <w:rFonts w:hint="eastAsia" w:hAnsi="宋体" w:cs="宋体"/>
          <w:b/>
          <w:bCs/>
          <w:sz w:val="24"/>
          <w:szCs w:val="24"/>
        </w:rPr>
        <w:t>（1）投标（响应）报价低于全部通过符合性审查供应商投标（响应）报价平均值50%的，即投标（响应）报价＜全部通过符合性审查供应商投标（响应）报价平均值×50%；</w:t>
      </w:r>
    </w:p>
    <w:p w14:paraId="154731C8">
      <w:pPr>
        <w:pStyle w:val="12"/>
        <w:spacing w:line="360" w:lineRule="auto"/>
        <w:ind w:firstLine="482" w:firstLineChars="200"/>
        <w:rPr>
          <w:rFonts w:hint="eastAsia" w:hAnsi="宋体" w:cs="宋体"/>
          <w:b/>
          <w:bCs/>
          <w:sz w:val="24"/>
          <w:szCs w:val="24"/>
        </w:rPr>
      </w:pPr>
      <w:r>
        <w:rPr>
          <w:rFonts w:hint="eastAsia" w:hAnsi="宋体" w:cs="宋体"/>
          <w:b/>
          <w:bCs/>
          <w:sz w:val="24"/>
          <w:szCs w:val="24"/>
        </w:rPr>
        <w:t>（2）投标（响应）报价低于通过符合性审查的次低报价供应商投标（响应）报价50%的，即投标（响应）报价＜通过符合性审查的次低报价供应商投标（响应）报价×50%；</w:t>
      </w:r>
    </w:p>
    <w:p w14:paraId="674D7DDA">
      <w:pPr>
        <w:pStyle w:val="12"/>
        <w:spacing w:line="360" w:lineRule="auto"/>
        <w:ind w:firstLine="482" w:firstLineChars="200"/>
        <w:rPr>
          <w:rFonts w:hint="eastAsia" w:hAnsi="宋体" w:cs="宋体"/>
          <w:b/>
          <w:bCs/>
          <w:sz w:val="24"/>
          <w:szCs w:val="24"/>
        </w:rPr>
      </w:pPr>
      <w:r>
        <w:rPr>
          <w:rFonts w:hint="eastAsia" w:hAnsi="宋体" w:cs="宋体"/>
          <w:b/>
          <w:bCs/>
          <w:sz w:val="24"/>
          <w:szCs w:val="24"/>
        </w:rPr>
        <w:t>（3）投标（响应）报价低于采购项目最高限价45%的，即投标（响应）报价＜采购项目最高限价×45%；</w:t>
      </w:r>
    </w:p>
    <w:p w14:paraId="22E1F6E1">
      <w:pPr>
        <w:pStyle w:val="12"/>
        <w:spacing w:line="360" w:lineRule="auto"/>
        <w:ind w:firstLine="482" w:firstLineChars="200"/>
        <w:rPr>
          <w:rFonts w:hint="eastAsia" w:hAnsi="宋体" w:cs="宋体"/>
          <w:b/>
          <w:bCs/>
          <w:sz w:val="24"/>
          <w:szCs w:val="24"/>
        </w:rPr>
      </w:pPr>
      <w:r>
        <w:rPr>
          <w:rFonts w:hint="eastAsia" w:hAnsi="宋体" w:cs="宋体"/>
          <w:b/>
          <w:bCs/>
          <w:sz w:val="24"/>
          <w:szCs w:val="24"/>
        </w:rPr>
        <w:t>（4）评审委员会基于专业判断，认为供应商报价过低，有可能影响产品质量或者不能诚信履约的其他情形。</w:t>
      </w:r>
    </w:p>
    <w:p w14:paraId="51C8D1AE">
      <w:pPr>
        <w:pStyle w:val="12"/>
        <w:spacing w:line="360" w:lineRule="auto"/>
        <w:ind w:firstLine="482" w:firstLineChars="200"/>
        <w:rPr>
          <w:rFonts w:hint="eastAsia" w:hAnsi="宋体" w:cs="宋体"/>
          <w:b/>
          <w:bCs/>
          <w:sz w:val="24"/>
          <w:szCs w:val="24"/>
        </w:rPr>
      </w:pPr>
      <w:r>
        <w:rPr>
          <w:rFonts w:hint="eastAsia" w:hAnsi="宋体" w:cs="宋体"/>
          <w:b/>
          <w:bCs/>
          <w:sz w:val="24"/>
          <w:szCs w:val="24"/>
        </w:rPr>
        <w:t>相关法律法规对供应商报价有规定的，从其规定。</w:t>
      </w:r>
    </w:p>
    <w:p w14:paraId="2020E60A">
      <w:pPr>
        <w:pStyle w:val="12"/>
        <w:spacing w:line="360" w:lineRule="auto"/>
        <w:ind w:firstLine="482" w:firstLineChars="200"/>
      </w:pPr>
      <w:r>
        <w:rPr>
          <w:rFonts w:hint="eastAsia" w:hAnsi="宋体" w:cs="宋体"/>
          <w:b/>
          <w:bCs/>
          <w:sz w:val="24"/>
          <w:szCs w:val="24"/>
        </w:rPr>
        <w:t>评审委员会启动异常低价投标（响应）审查后，属于前述（1）至（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925E1B4">
      <w:pPr>
        <w:spacing w:line="360" w:lineRule="auto"/>
        <w:jc w:val="left"/>
        <w:rPr>
          <w:rFonts w:hint="eastAsia" w:ascii="宋体" w:hAnsi="宋体" w:cs="宋体"/>
          <w:b/>
          <w:sz w:val="24"/>
        </w:rPr>
      </w:pPr>
      <w:r>
        <w:rPr>
          <w:rFonts w:hint="eastAsia" w:ascii="宋体" w:hAnsi="宋体" w:cs="宋体"/>
          <w:b/>
          <w:sz w:val="24"/>
        </w:rPr>
        <w:t>3.4投标有效期</w:t>
      </w:r>
    </w:p>
    <w:p w14:paraId="2D508897">
      <w:pPr>
        <w:tabs>
          <w:tab w:val="left" w:pos="7899"/>
        </w:tabs>
        <w:spacing w:line="360" w:lineRule="auto"/>
        <w:ind w:firstLine="472" w:firstLineChars="197"/>
        <w:rPr>
          <w:rFonts w:hint="eastAsia" w:ascii="宋体" w:hAnsi="宋体" w:cs="宋体"/>
          <w:sz w:val="24"/>
        </w:rPr>
      </w:pPr>
      <w:r>
        <w:rPr>
          <w:rFonts w:hint="eastAsia" w:ascii="宋体" w:hAnsi="宋体" w:cs="宋体"/>
          <w:sz w:val="24"/>
        </w:rPr>
        <w:t>3.4.1 除投标人须知前附表另有规定外，投标文件有效期应为90日，从招标文件规定的递交投标文件的截止时间开始计算。</w:t>
      </w:r>
    </w:p>
    <w:p w14:paraId="0594C64D">
      <w:pPr>
        <w:tabs>
          <w:tab w:val="left" w:pos="7899"/>
        </w:tabs>
        <w:spacing w:line="360" w:lineRule="auto"/>
        <w:ind w:firstLine="472" w:firstLineChars="197"/>
        <w:rPr>
          <w:rFonts w:hint="eastAsia" w:ascii="宋体" w:hAnsi="宋体" w:cs="宋体"/>
          <w:sz w:val="24"/>
        </w:rPr>
      </w:pPr>
      <w:r>
        <w:rPr>
          <w:rFonts w:hint="eastAsia" w:ascii="宋体" w:hAnsi="宋体" w:cs="宋体"/>
          <w:sz w:val="24"/>
        </w:rPr>
        <w:t>3.4.2 出现特殊情况需要延长投标文件有效期的，采购人以云南省政府采购网、政府采购云平台发布通知形式通知所有投标人延长投标文件有效期，投标人应予以答复。同意延长的，应相应延长其投标保证金的有效期，但不得修改其投标文件；投标人拒绝延长的，其投标文件在原有效期届满后失效，但投标人有权收回其投标保证金。</w:t>
      </w:r>
    </w:p>
    <w:p w14:paraId="3788295A">
      <w:pPr>
        <w:tabs>
          <w:tab w:val="left" w:pos="7899"/>
        </w:tabs>
        <w:spacing w:line="360" w:lineRule="auto"/>
        <w:ind w:firstLine="472" w:firstLineChars="197"/>
        <w:rPr>
          <w:rFonts w:hint="eastAsia" w:ascii="宋体" w:hAnsi="宋体" w:cs="宋体"/>
          <w:sz w:val="24"/>
        </w:rPr>
      </w:pPr>
      <w:r>
        <w:rPr>
          <w:rFonts w:hint="eastAsia" w:ascii="宋体" w:hAnsi="宋体" w:cs="宋体"/>
          <w:sz w:val="24"/>
        </w:rPr>
        <w:t>3.4.3 投标有效期从提交投标文件的截止之日起算。投标文件中承诺的投标有效期应当不少于招标文件中载明的投标有效期。投标有效期内投标人撤销投标文件的，采购人或者采购代理机构不退还投标保证金。</w:t>
      </w:r>
    </w:p>
    <w:p w14:paraId="7DA73011">
      <w:pPr>
        <w:spacing w:line="360" w:lineRule="auto"/>
        <w:jc w:val="left"/>
        <w:rPr>
          <w:rFonts w:hint="eastAsia" w:ascii="宋体" w:hAnsi="宋体" w:cs="宋体"/>
          <w:b/>
          <w:sz w:val="24"/>
        </w:rPr>
      </w:pPr>
      <w:r>
        <w:rPr>
          <w:rFonts w:hint="eastAsia" w:ascii="宋体" w:hAnsi="宋体" w:cs="宋体"/>
          <w:b/>
          <w:sz w:val="24"/>
        </w:rPr>
        <w:t>3.5投标保证金</w:t>
      </w:r>
    </w:p>
    <w:p w14:paraId="11EBFC3B">
      <w:pPr>
        <w:pStyle w:val="12"/>
        <w:tabs>
          <w:tab w:val="left" w:pos="710"/>
        </w:tabs>
        <w:spacing w:line="360" w:lineRule="auto"/>
        <w:ind w:firstLine="448" w:firstLineChars="200"/>
        <w:rPr>
          <w:rFonts w:hint="eastAsia" w:hAnsi="宋体" w:cs="宋体"/>
          <w:spacing w:val="-8"/>
          <w:sz w:val="24"/>
          <w:szCs w:val="24"/>
        </w:rPr>
      </w:pPr>
      <w:r>
        <w:rPr>
          <w:rFonts w:hint="eastAsia" w:hAnsi="宋体" w:cs="宋体"/>
          <w:spacing w:val="-8"/>
          <w:sz w:val="24"/>
          <w:szCs w:val="24"/>
        </w:rPr>
        <w:t>3.5.1投标保证金为人民币。投标人应在提交投标文件截止时间以前按“</w:t>
      </w:r>
      <w:r>
        <w:rPr>
          <w:rFonts w:hint="eastAsia" w:hAnsi="宋体" w:cs="宋体"/>
          <w:bCs/>
          <w:spacing w:val="-8"/>
          <w:sz w:val="24"/>
          <w:szCs w:val="24"/>
        </w:rPr>
        <w:t>投标人须知前附表”</w:t>
      </w:r>
      <w:r>
        <w:rPr>
          <w:rFonts w:hint="eastAsia" w:hAnsi="宋体" w:cs="宋体"/>
          <w:spacing w:val="-8"/>
          <w:sz w:val="24"/>
          <w:szCs w:val="24"/>
        </w:rPr>
        <w:t>规定的提交投标保证金，并在规定的时间内保持有效。</w:t>
      </w:r>
    </w:p>
    <w:p w14:paraId="2538273F">
      <w:pPr>
        <w:pStyle w:val="12"/>
        <w:tabs>
          <w:tab w:val="left" w:pos="710"/>
        </w:tabs>
        <w:spacing w:line="360" w:lineRule="auto"/>
        <w:ind w:firstLine="448" w:firstLineChars="200"/>
        <w:rPr>
          <w:rFonts w:hint="eastAsia" w:hAnsi="宋体" w:cs="宋体"/>
          <w:spacing w:val="-8"/>
          <w:sz w:val="24"/>
          <w:szCs w:val="24"/>
        </w:rPr>
      </w:pPr>
      <w:r>
        <w:rPr>
          <w:rFonts w:hint="eastAsia" w:hAnsi="宋体" w:cs="宋体"/>
          <w:spacing w:val="-8"/>
          <w:sz w:val="24"/>
          <w:szCs w:val="24"/>
        </w:rPr>
        <w:t>3.5.2除投标人须知前附表另有规定外，采购人将在发出中标通知书后5个工作日退还未中标人的投标保证金，并在采购合同签订后5个工作日内退还中标人的投标保证金。</w:t>
      </w:r>
    </w:p>
    <w:p w14:paraId="76465E1F">
      <w:pPr>
        <w:pStyle w:val="12"/>
        <w:spacing w:line="360" w:lineRule="auto"/>
        <w:ind w:firstLine="480" w:firstLineChars="200"/>
        <w:rPr>
          <w:rFonts w:hint="eastAsia" w:hAnsi="宋体" w:cs="宋体"/>
          <w:sz w:val="24"/>
          <w:szCs w:val="24"/>
        </w:rPr>
      </w:pPr>
      <w:r>
        <w:rPr>
          <w:rFonts w:hint="eastAsia" w:hAnsi="宋体" w:cs="宋体"/>
          <w:sz w:val="24"/>
          <w:szCs w:val="24"/>
        </w:rPr>
        <w:t>3.5.3投标人在投标截止时间前撤回已提交的投标文件的，采购人、采购代理机构应当自收到投标人撤回通知之日起5个工作日内，退还已收取的投标保证金，但因投标人自身原因导致无法及时退还的除外。</w:t>
      </w:r>
    </w:p>
    <w:p w14:paraId="0495BAFC">
      <w:pPr>
        <w:spacing w:line="360" w:lineRule="auto"/>
        <w:ind w:firstLine="480" w:firstLineChars="200"/>
        <w:rPr>
          <w:rFonts w:hint="eastAsia" w:ascii="宋体" w:hAnsi="宋体" w:cs="宋体"/>
          <w:sz w:val="24"/>
        </w:rPr>
      </w:pPr>
      <w:r>
        <w:rPr>
          <w:rFonts w:hint="eastAsia" w:ascii="宋体" w:hAnsi="宋体" w:cs="宋体"/>
          <w:sz w:val="24"/>
        </w:rPr>
        <w:t>3.5.4有下列情形之一的，投标保证金将不予退还：</w:t>
      </w:r>
    </w:p>
    <w:p w14:paraId="7F33026D">
      <w:pPr>
        <w:spacing w:line="360" w:lineRule="auto"/>
        <w:ind w:firstLine="480" w:firstLineChars="200"/>
        <w:rPr>
          <w:rFonts w:hint="eastAsia" w:ascii="宋体" w:hAnsi="宋体" w:cs="宋体"/>
          <w:sz w:val="24"/>
        </w:rPr>
      </w:pPr>
      <w:r>
        <w:rPr>
          <w:rFonts w:hint="eastAsia" w:ascii="宋体" w:hAnsi="宋体" w:cs="宋体"/>
          <w:sz w:val="24"/>
        </w:rPr>
        <w:t>（1）投标人在提交投标文件截止时间后撤回投标文件的；</w:t>
      </w:r>
    </w:p>
    <w:p w14:paraId="62F1083B">
      <w:pPr>
        <w:spacing w:line="360" w:lineRule="auto"/>
        <w:ind w:firstLine="480" w:firstLineChars="200"/>
        <w:rPr>
          <w:rFonts w:hint="eastAsia" w:ascii="宋体" w:hAnsi="宋体" w:cs="宋体"/>
          <w:sz w:val="24"/>
        </w:rPr>
      </w:pPr>
      <w:r>
        <w:rPr>
          <w:rFonts w:hint="eastAsia" w:ascii="宋体" w:hAnsi="宋体" w:cs="宋体"/>
          <w:sz w:val="24"/>
        </w:rPr>
        <w:t>（2）投标人在投标文件中提供虚假材料的；</w:t>
      </w:r>
    </w:p>
    <w:p w14:paraId="53D5AA5B">
      <w:pPr>
        <w:spacing w:line="360" w:lineRule="auto"/>
        <w:ind w:firstLine="480" w:firstLineChars="200"/>
        <w:rPr>
          <w:rFonts w:hint="eastAsia" w:ascii="宋体" w:hAnsi="宋体" w:cs="宋体"/>
          <w:sz w:val="24"/>
        </w:rPr>
      </w:pPr>
      <w:r>
        <w:rPr>
          <w:rFonts w:hint="eastAsia" w:ascii="宋体" w:hAnsi="宋体" w:cs="宋体"/>
          <w:sz w:val="24"/>
        </w:rPr>
        <w:t>（3）除因不可抗力或招标文件认可的情形以外，中标投标人不与采购人签订合同的；</w:t>
      </w:r>
    </w:p>
    <w:p w14:paraId="46F5469D">
      <w:pPr>
        <w:spacing w:line="360" w:lineRule="auto"/>
        <w:ind w:firstLine="480" w:firstLineChars="200"/>
        <w:rPr>
          <w:rFonts w:hint="eastAsia" w:ascii="宋体" w:hAnsi="宋体" w:cs="宋体"/>
          <w:sz w:val="24"/>
        </w:rPr>
      </w:pPr>
      <w:r>
        <w:rPr>
          <w:rFonts w:hint="eastAsia" w:ascii="宋体" w:hAnsi="宋体" w:cs="宋体"/>
          <w:sz w:val="24"/>
        </w:rPr>
        <w:t>（4）投标人与采购人、其他投标人或者采购代理机构恶意串通的；</w:t>
      </w:r>
    </w:p>
    <w:p w14:paraId="4AA2E1E8">
      <w:pPr>
        <w:spacing w:line="360" w:lineRule="auto"/>
        <w:ind w:firstLine="480" w:firstLineChars="200"/>
        <w:rPr>
          <w:rFonts w:hint="eastAsia" w:ascii="宋体" w:hAnsi="宋体" w:cs="宋体"/>
          <w:sz w:val="24"/>
        </w:rPr>
      </w:pPr>
      <w:r>
        <w:rPr>
          <w:rFonts w:hint="eastAsia" w:ascii="宋体" w:hAnsi="宋体" w:cs="宋体"/>
          <w:sz w:val="24"/>
        </w:rPr>
        <w:t>（5）法律法规规定的其他情形。</w:t>
      </w:r>
    </w:p>
    <w:p w14:paraId="65C15832">
      <w:pPr>
        <w:spacing w:line="360" w:lineRule="auto"/>
        <w:jc w:val="left"/>
        <w:rPr>
          <w:rFonts w:hint="eastAsia" w:ascii="宋体" w:hAnsi="宋体" w:cs="宋体"/>
          <w:b/>
          <w:sz w:val="24"/>
        </w:rPr>
      </w:pPr>
      <w:r>
        <w:rPr>
          <w:rFonts w:hint="eastAsia" w:ascii="宋体" w:hAnsi="宋体" w:cs="宋体"/>
          <w:b/>
          <w:sz w:val="24"/>
        </w:rPr>
        <w:t>3.6投标文件的编制</w:t>
      </w:r>
    </w:p>
    <w:p w14:paraId="45616AFA">
      <w:pPr>
        <w:tabs>
          <w:tab w:val="left" w:pos="7899"/>
        </w:tabs>
        <w:spacing w:line="360" w:lineRule="auto"/>
        <w:ind w:firstLine="472" w:firstLineChars="197"/>
        <w:rPr>
          <w:rFonts w:hint="eastAsia" w:ascii="宋体" w:hAnsi="宋体" w:cs="宋体"/>
          <w:sz w:val="24"/>
        </w:rPr>
      </w:pPr>
      <w:r>
        <w:rPr>
          <w:rFonts w:hint="eastAsia" w:ascii="宋体" w:hAnsi="宋体" w:cs="宋体"/>
          <w:sz w:val="24"/>
        </w:rPr>
        <w:t>3.6.1投标文件应按第六章“投标文件格式”进行编写，如有必要，可以增加附页，作为投标文件的组成部分。其中，投标函在满足招标文件实质性要求的基础上，可以提出比招标文件要求更有利于采购人的承诺。</w:t>
      </w:r>
    </w:p>
    <w:p w14:paraId="4551D97A">
      <w:pPr>
        <w:tabs>
          <w:tab w:val="left" w:pos="7899"/>
        </w:tabs>
        <w:spacing w:line="360" w:lineRule="auto"/>
        <w:ind w:firstLine="472" w:firstLineChars="197"/>
        <w:rPr>
          <w:rFonts w:hint="eastAsia" w:ascii="宋体" w:hAnsi="宋体" w:cs="宋体"/>
          <w:sz w:val="24"/>
        </w:rPr>
      </w:pPr>
      <w:r>
        <w:rPr>
          <w:rFonts w:hint="eastAsia" w:ascii="宋体" w:hAnsi="宋体" w:cs="宋体"/>
          <w:sz w:val="24"/>
        </w:rPr>
        <w:t>3.6.2投标人应仔细阅读招标文件，在完全了解采购的内容、技术性能要求(详见“第四章 采购需求及技术参数要求”)和商务条件后，编写投标文件。如果没有按照招标文件要求提交全部投标文件或者资料，没有对招标文件的实质性要求和条件作出响应是投标人的风险，并可能导致该投标被拒绝。</w:t>
      </w:r>
    </w:p>
    <w:p w14:paraId="7011034C">
      <w:pPr>
        <w:tabs>
          <w:tab w:val="left" w:pos="7899"/>
        </w:tabs>
        <w:spacing w:line="360" w:lineRule="auto"/>
        <w:ind w:firstLine="472" w:firstLineChars="197"/>
        <w:rPr>
          <w:rFonts w:hint="eastAsia" w:ascii="宋体" w:hAnsi="宋体" w:cs="宋体"/>
          <w:sz w:val="24"/>
        </w:rPr>
      </w:pPr>
      <w:r>
        <w:rPr>
          <w:rFonts w:hint="eastAsia" w:ascii="宋体" w:hAnsi="宋体" w:cs="宋体"/>
          <w:sz w:val="24"/>
        </w:rPr>
        <w:t>3.6.3对招标文件提出的实质性要求和条件作出响应是指投标人必须对招标文件中标明实质性要求和条件的技术参数及性能配置、数量、售后服务、合同主要条款及其它要求等内容作出满足或者优于原要求和条件的承诺。</w:t>
      </w:r>
    </w:p>
    <w:p w14:paraId="57B85C9D">
      <w:pPr>
        <w:tabs>
          <w:tab w:val="left" w:pos="7899"/>
        </w:tabs>
        <w:spacing w:line="360" w:lineRule="auto"/>
        <w:ind w:firstLine="472" w:firstLineChars="197"/>
        <w:rPr>
          <w:rFonts w:hint="eastAsia" w:ascii="宋体" w:hAnsi="宋体" w:cs="宋体"/>
          <w:sz w:val="24"/>
        </w:rPr>
      </w:pPr>
      <w:r>
        <w:rPr>
          <w:rFonts w:hint="eastAsia" w:ascii="宋体" w:hAnsi="宋体" w:cs="宋体"/>
          <w:sz w:val="24"/>
        </w:rPr>
        <w:t>3.6.4投标人应保证所提供资料的真实有效，如因资料弄虚作假所引起的一切后果由投标人自行承担。</w:t>
      </w:r>
    </w:p>
    <w:p w14:paraId="56C5E35A">
      <w:pPr>
        <w:tabs>
          <w:tab w:val="left" w:pos="7899"/>
        </w:tabs>
        <w:spacing w:line="360" w:lineRule="auto"/>
        <w:ind w:firstLine="472" w:firstLineChars="197"/>
        <w:rPr>
          <w:rFonts w:hint="eastAsia" w:ascii="宋体" w:hAnsi="宋体" w:cs="宋体"/>
          <w:sz w:val="24"/>
        </w:rPr>
      </w:pPr>
      <w:r>
        <w:rPr>
          <w:rFonts w:hint="eastAsia" w:ascii="宋体" w:hAnsi="宋体" w:cs="宋体"/>
          <w:sz w:val="24"/>
        </w:rPr>
        <w:t>3.6.5</w:t>
      </w:r>
      <w:r>
        <w:rPr>
          <w:rFonts w:hint="eastAsia" w:ascii="宋体" w:hAnsi="宋体" w:cs="宋体"/>
          <w:b/>
          <w:bCs/>
          <w:sz w:val="24"/>
        </w:rPr>
        <w:t>本项目所述的投标文件指电子投标文件。</w:t>
      </w:r>
      <w:r>
        <w:rPr>
          <w:rFonts w:hint="eastAsia" w:ascii="宋体" w:hAnsi="宋体" w:cs="宋体"/>
          <w:sz w:val="24"/>
        </w:rPr>
        <w:t>电子投标文件的制作应使用“政采云投标客户端”，投标人下载“政采云投标客户端”，通过“政采云投标客户端”编制并生成加密的投标文件；“政采云投标客户端”提供数字证书（CA）对投标文件进行加密功能。投标人对网上递交的投标文件应加密。如果投标人使用某个数字证书（CA）对投标文件进行了数字证书（CA）加密，需要在开标时使用该数字证书（CA）进行解密，才能读取或导入投标文件，如因投标人自身原因导致在规定时间内无法正常解密的（如：浏览器故障、未安装相关驱动、网络故障、加密CA与解密CA不一致等），采购代理机构不予异常处理，视为投标人自动弃标。</w:t>
      </w:r>
    </w:p>
    <w:p w14:paraId="00AFD841">
      <w:pPr>
        <w:wordWrap w:val="0"/>
        <w:spacing w:line="360" w:lineRule="auto"/>
        <w:ind w:firstLine="480" w:firstLineChars="200"/>
        <w:jc w:val="left"/>
        <w:rPr>
          <w:rFonts w:hint="eastAsia" w:ascii="宋体" w:hAnsi="宋体" w:cs="宋体"/>
          <w:sz w:val="24"/>
        </w:rPr>
      </w:pPr>
      <w:r>
        <w:rPr>
          <w:rFonts w:hint="eastAsia" w:ascii="宋体" w:hAnsi="宋体" w:cs="宋体"/>
          <w:sz w:val="24"/>
        </w:rPr>
        <w:t>注：</w:t>
      </w:r>
      <w:r>
        <w:rPr>
          <w:rFonts w:hint="eastAsia" w:ascii="宋体" w:hAnsi="宋体" w:cs="宋体"/>
          <w:bCs/>
          <w:sz w:val="24"/>
        </w:rPr>
        <w:t>在使用政采云投标客户端时，建议使用WIN7（64位）及以上操作系统。客户端请至政采云公司网站（https://edu.zcygov.cn/luban/yunnan-dzjy-gys）进行查看下载，如有问题可拨打政采云客户服务热线95763进行咨询。</w:t>
      </w:r>
    </w:p>
    <w:p w14:paraId="7507DFF2">
      <w:pPr>
        <w:spacing w:line="360" w:lineRule="auto"/>
        <w:jc w:val="left"/>
        <w:rPr>
          <w:rFonts w:hint="eastAsia" w:ascii="宋体" w:hAnsi="宋体" w:cs="宋体"/>
          <w:b/>
          <w:sz w:val="24"/>
        </w:rPr>
      </w:pPr>
      <w:r>
        <w:rPr>
          <w:rFonts w:hint="eastAsia" w:ascii="宋体" w:hAnsi="宋体" w:cs="宋体"/>
          <w:b/>
          <w:sz w:val="24"/>
        </w:rPr>
        <w:t>3.7投标文件的提交</w:t>
      </w:r>
    </w:p>
    <w:p w14:paraId="4A2738CE">
      <w:pPr>
        <w:spacing w:line="360" w:lineRule="auto"/>
        <w:ind w:firstLine="480" w:firstLineChars="200"/>
        <w:jc w:val="left"/>
        <w:rPr>
          <w:rFonts w:hint="eastAsia" w:ascii="宋体" w:hAnsi="宋体" w:cs="宋体"/>
          <w:sz w:val="24"/>
        </w:rPr>
      </w:pPr>
      <w:r>
        <w:rPr>
          <w:rFonts w:hint="eastAsia" w:ascii="宋体" w:hAnsi="宋体" w:cs="宋体"/>
          <w:sz w:val="24"/>
        </w:rPr>
        <w:t>3.7.1本项目投标将采用电子评审。</w:t>
      </w:r>
    </w:p>
    <w:p w14:paraId="5DBB1FCF">
      <w:pPr>
        <w:spacing w:line="360" w:lineRule="auto"/>
        <w:ind w:firstLine="480" w:firstLineChars="200"/>
        <w:jc w:val="left"/>
        <w:rPr>
          <w:rFonts w:hint="eastAsia" w:ascii="宋体" w:hAnsi="宋体" w:cs="宋体"/>
          <w:sz w:val="24"/>
        </w:rPr>
      </w:pPr>
      <w:r>
        <w:rPr>
          <w:rFonts w:hint="eastAsia" w:ascii="宋体" w:hAnsi="宋体" w:cs="宋体"/>
          <w:sz w:val="24"/>
        </w:rPr>
        <w:t>3.7.2投标人对网上提交的投标文件必须加密，如果投标人使用某个数字证书（CA）对投标文件进行了数字证书（CA）加密，需要在开标过程中使用该数字证书（CA）进行解密，才能读取或导入投标文件，因投标人原因造成投标文件未解密的，视为撤回其投标文件。</w:t>
      </w:r>
    </w:p>
    <w:p w14:paraId="6EC03465">
      <w:pPr>
        <w:spacing w:line="360" w:lineRule="auto"/>
        <w:ind w:firstLine="480" w:firstLineChars="200"/>
        <w:jc w:val="left"/>
        <w:rPr>
          <w:rFonts w:hint="eastAsia" w:ascii="宋体" w:hAnsi="宋体" w:cs="宋体"/>
          <w:sz w:val="24"/>
        </w:rPr>
      </w:pPr>
      <w:r>
        <w:rPr>
          <w:rFonts w:hint="eastAsia" w:ascii="宋体" w:hAnsi="宋体" w:cs="宋体"/>
          <w:sz w:val="24"/>
        </w:rPr>
        <w:t>3.7.3网上递交投标文件截止时间：详见“投标人须知前附表”，投标人须在投标截止时间前完成所有投标文件的上传。</w:t>
      </w:r>
    </w:p>
    <w:p w14:paraId="5EA6EB9E">
      <w:pPr>
        <w:spacing w:line="360" w:lineRule="auto"/>
        <w:ind w:firstLine="480" w:firstLineChars="200"/>
        <w:jc w:val="left"/>
        <w:rPr>
          <w:rFonts w:hint="eastAsia" w:ascii="宋体" w:hAnsi="宋体" w:cs="宋体"/>
          <w:sz w:val="24"/>
        </w:rPr>
      </w:pPr>
      <w:r>
        <w:rPr>
          <w:rFonts w:hint="eastAsia" w:ascii="宋体" w:hAnsi="宋体" w:cs="宋体"/>
          <w:sz w:val="24"/>
        </w:rPr>
        <w:t>3.7.4在规定的投标截止时间前，投标人可以修改或撤回已在网上递交的电子投标文件，无须书面形式通知采购代理机构。修改的电子投标文件应按照有关电子投标文件规定进行编制、加密和提交。</w:t>
      </w:r>
    </w:p>
    <w:p w14:paraId="44AA0003">
      <w:pPr>
        <w:spacing w:line="360" w:lineRule="auto"/>
        <w:ind w:firstLine="480" w:firstLineChars="200"/>
        <w:jc w:val="left"/>
        <w:rPr>
          <w:rFonts w:hint="eastAsia" w:ascii="宋体" w:hAnsi="宋体" w:cs="宋体"/>
          <w:sz w:val="24"/>
        </w:rPr>
      </w:pPr>
      <w:r>
        <w:rPr>
          <w:rFonts w:hint="eastAsia" w:ascii="宋体" w:hAnsi="宋体" w:cs="宋体"/>
          <w:sz w:val="24"/>
        </w:rPr>
        <w:t>3.7.5电子投标文件的提交不得迟于“投标人须知前附表”规定的提交截止时间。</w:t>
      </w:r>
    </w:p>
    <w:p w14:paraId="48CF5758">
      <w:pPr>
        <w:pStyle w:val="4"/>
        <w:spacing w:before="156" w:beforeLines="50" w:after="156" w:afterLines="50"/>
        <w:ind w:left="0" w:firstLine="0"/>
        <w:rPr>
          <w:rFonts w:hint="eastAsia" w:ascii="宋体" w:hAnsi="宋体" w:eastAsia="宋体" w:cs="宋体"/>
          <w:szCs w:val="28"/>
        </w:rPr>
      </w:pPr>
      <w:bookmarkStart w:id="82" w:name="_Toc29886"/>
      <w:bookmarkStart w:id="83" w:name="_Toc24839"/>
      <w:bookmarkStart w:id="84" w:name="_Toc4151"/>
      <w:bookmarkStart w:id="85" w:name="_Toc29914"/>
      <w:r>
        <w:rPr>
          <w:rFonts w:hint="eastAsia" w:ascii="宋体" w:hAnsi="宋体" w:eastAsia="宋体" w:cs="宋体"/>
          <w:szCs w:val="28"/>
        </w:rPr>
        <w:t>四、开标</w:t>
      </w:r>
      <w:bookmarkEnd w:id="82"/>
      <w:bookmarkEnd w:id="83"/>
      <w:bookmarkEnd w:id="84"/>
      <w:bookmarkEnd w:id="85"/>
    </w:p>
    <w:p w14:paraId="5556A628">
      <w:pPr>
        <w:spacing w:line="360" w:lineRule="auto"/>
        <w:jc w:val="left"/>
        <w:rPr>
          <w:rFonts w:hint="eastAsia" w:ascii="宋体" w:hAnsi="宋体" w:cs="宋体"/>
          <w:b/>
          <w:sz w:val="24"/>
        </w:rPr>
      </w:pPr>
      <w:r>
        <w:rPr>
          <w:rFonts w:hint="eastAsia" w:ascii="宋体" w:hAnsi="宋体" w:cs="宋体"/>
          <w:b/>
          <w:sz w:val="24"/>
        </w:rPr>
        <w:t>4.1开标</w:t>
      </w:r>
    </w:p>
    <w:p w14:paraId="7831288A">
      <w:pPr>
        <w:spacing w:line="360" w:lineRule="auto"/>
        <w:ind w:firstLine="480" w:firstLineChars="200"/>
        <w:jc w:val="left"/>
        <w:rPr>
          <w:rFonts w:hint="eastAsia" w:ascii="宋体" w:hAnsi="宋体" w:cs="宋体"/>
          <w:sz w:val="24"/>
        </w:rPr>
      </w:pPr>
      <w:r>
        <w:rPr>
          <w:rFonts w:hint="eastAsia" w:ascii="宋体" w:hAnsi="宋体" w:cs="宋体"/>
          <w:sz w:val="24"/>
        </w:rPr>
        <w:t>4.1.1采购代理机构将在“投标人须知前附表”规定的时间和地点进行开标。</w:t>
      </w:r>
    </w:p>
    <w:p w14:paraId="10ED3870">
      <w:pPr>
        <w:snapToGrid w:val="0"/>
        <w:spacing w:line="360" w:lineRule="auto"/>
        <w:ind w:firstLine="480" w:firstLineChars="200"/>
        <w:contextualSpacing/>
        <w:rPr>
          <w:rFonts w:hint="eastAsia" w:ascii="宋体" w:hAnsi="宋体" w:cs="宋体"/>
          <w:sz w:val="24"/>
        </w:rPr>
      </w:pPr>
      <w:r>
        <w:rPr>
          <w:rFonts w:hint="eastAsia" w:ascii="宋体" w:hAnsi="宋体" w:cs="宋体"/>
          <w:sz w:val="24"/>
        </w:rPr>
        <w:t>4.1.2开标程序详见“投标人须知前附表”。</w:t>
      </w:r>
    </w:p>
    <w:p w14:paraId="779ACF5D">
      <w:pPr>
        <w:snapToGrid w:val="0"/>
        <w:spacing w:line="360" w:lineRule="auto"/>
        <w:ind w:firstLine="480" w:firstLineChars="200"/>
        <w:contextualSpacing/>
        <w:rPr>
          <w:rFonts w:hint="eastAsia" w:ascii="宋体" w:hAnsi="宋体" w:cs="宋体"/>
          <w:sz w:val="24"/>
        </w:rPr>
      </w:pPr>
      <w:r>
        <w:rPr>
          <w:rFonts w:hint="eastAsia" w:ascii="宋体" w:hAnsi="宋体" w:cs="宋体"/>
          <w:sz w:val="24"/>
        </w:rPr>
        <w:t>（1）开标会由采购代理机构主持，主持人宣布开标会议开始；</w:t>
      </w:r>
    </w:p>
    <w:p w14:paraId="09122936">
      <w:pPr>
        <w:snapToGrid w:val="0"/>
        <w:spacing w:line="360" w:lineRule="auto"/>
        <w:ind w:firstLine="480" w:firstLineChars="200"/>
        <w:contextualSpacing/>
        <w:rPr>
          <w:rFonts w:hint="eastAsia" w:ascii="宋体" w:hAnsi="宋体" w:cs="宋体"/>
          <w:sz w:val="24"/>
        </w:rPr>
      </w:pPr>
      <w:r>
        <w:rPr>
          <w:rFonts w:hint="eastAsia" w:ascii="宋体" w:hAnsi="宋体" w:cs="宋体"/>
          <w:sz w:val="24"/>
        </w:rPr>
        <w:t>（2）介绍参加开标会的人员名单；</w:t>
      </w:r>
    </w:p>
    <w:p w14:paraId="18C3AB00">
      <w:pPr>
        <w:snapToGrid w:val="0"/>
        <w:spacing w:line="360" w:lineRule="auto"/>
        <w:ind w:firstLine="480" w:firstLineChars="200"/>
        <w:contextualSpacing/>
        <w:rPr>
          <w:rFonts w:hint="eastAsia" w:ascii="宋体" w:hAnsi="宋体" w:cs="宋体"/>
          <w:sz w:val="24"/>
        </w:rPr>
      </w:pPr>
      <w:r>
        <w:rPr>
          <w:rFonts w:hint="eastAsia" w:ascii="宋体" w:hAnsi="宋体" w:cs="宋体"/>
          <w:sz w:val="24"/>
        </w:rPr>
        <w:t>（3）打开智能开标系统，投标人在规定时间内完成投标文件解密。</w:t>
      </w:r>
    </w:p>
    <w:p w14:paraId="2583E330">
      <w:pPr>
        <w:snapToGrid w:val="0"/>
        <w:spacing w:line="360" w:lineRule="auto"/>
        <w:ind w:firstLine="480" w:firstLineChars="200"/>
        <w:contextualSpacing/>
        <w:rPr>
          <w:rFonts w:hint="eastAsia" w:ascii="宋体" w:hAnsi="宋体" w:cs="宋体"/>
          <w:sz w:val="24"/>
        </w:rPr>
      </w:pPr>
      <w:r>
        <w:rPr>
          <w:rFonts w:hint="eastAsia" w:ascii="宋体" w:hAnsi="宋体" w:cs="宋体"/>
          <w:sz w:val="24"/>
        </w:rPr>
        <w:t>（4）各投标人核对开标记录表中各项数据；如有问题，可以在线提出异议，由采购代理机构给予对应的回复。开标端发起对本次开标过程是否有异议询问后，不确认或不及时提出异议，视为对本次开标过程无异议。</w:t>
      </w:r>
    </w:p>
    <w:p w14:paraId="4FAF6727">
      <w:pPr>
        <w:snapToGrid w:val="0"/>
        <w:spacing w:line="360" w:lineRule="auto"/>
        <w:ind w:firstLine="480" w:firstLineChars="200"/>
        <w:contextualSpacing/>
        <w:rPr>
          <w:rFonts w:hint="eastAsia" w:ascii="宋体" w:hAnsi="宋体" w:cs="宋体"/>
          <w:sz w:val="24"/>
        </w:rPr>
      </w:pPr>
      <w:r>
        <w:rPr>
          <w:rFonts w:hint="eastAsia" w:ascii="宋体" w:hAnsi="宋体" w:cs="宋体"/>
          <w:sz w:val="24"/>
        </w:rPr>
        <w:t>（5）代理机构确认开标会议结束。</w:t>
      </w:r>
    </w:p>
    <w:p w14:paraId="17151E49">
      <w:pPr>
        <w:spacing w:line="360" w:lineRule="auto"/>
        <w:ind w:firstLine="480" w:firstLineChars="200"/>
        <w:jc w:val="left"/>
        <w:rPr>
          <w:rFonts w:hint="eastAsia" w:ascii="宋体" w:hAnsi="宋体" w:cs="宋体"/>
          <w:sz w:val="24"/>
        </w:rPr>
      </w:pPr>
      <w:r>
        <w:rPr>
          <w:rFonts w:hint="eastAsia" w:ascii="宋体" w:hAnsi="宋体" w:cs="宋体"/>
          <w:sz w:val="24"/>
        </w:rPr>
        <w:t>4.1.3采购代理机构将做开标记录并存档备查。</w:t>
      </w:r>
    </w:p>
    <w:p w14:paraId="20378534">
      <w:pPr>
        <w:pStyle w:val="4"/>
        <w:spacing w:before="156" w:beforeLines="50" w:after="156" w:afterLines="50"/>
        <w:ind w:left="0" w:firstLine="0"/>
        <w:rPr>
          <w:rFonts w:hint="eastAsia" w:ascii="宋体" w:hAnsi="宋体" w:eastAsia="宋体" w:cs="宋体"/>
          <w:szCs w:val="28"/>
        </w:rPr>
      </w:pPr>
      <w:bookmarkStart w:id="86" w:name="_Toc29419"/>
      <w:bookmarkStart w:id="87" w:name="_Toc25414"/>
      <w:bookmarkStart w:id="88" w:name="_Toc3475"/>
      <w:bookmarkStart w:id="89" w:name="_Toc7057"/>
      <w:r>
        <w:rPr>
          <w:rFonts w:hint="eastAsia" w:ascii="宋体" w:hAnsi="宋体" w:eastAsia="宋体" w:cs="宋体"/>
          <w:szCs w:val="28"/>
        </w:rPr>
        <w:t>五、资格审查</w:t>
      </w:r>
      <w:bookmarkEnd w:id="86"/>
      <w:bookmarkEnd w:id="87"/>
      <w:bookmarkEnd w:id="88"/>
      <w:bookmarkEnd w:id="89"/>
    </w:p>
    <w:p w14:paraId="0CFDD597">
      <w:pPr>
        <w:spacing w:line="360" w:lineRule="auto"/>
        <w:ind w:firstLine="480" w:firstLineChars="200"/>
        <w:jc w:val="left"/>
        <w:rPr>
          <w:rFonts w:hint="eastAsia" w:ascii="宋体" w:hAnsi="宋体" w:cs="宋体"/>
          <w:sz w:val="24"/>
        </w:rPr>
      </w:pPr>
      <w:r>
        <w:rPr>
          <w:rFonts w:hint="eastAsia" w:ascii="宋体" w:hAnsi="宋体" w:cs="宋体"/>
          <w:sz w:val="24"/>
        </w:rPr>
        <w:t>本项目开标会议结束后，由采购人或采购代理机构依据资格审查标准对投标人投标文件进行资格审查，资格审查合格投标人不足3家的，不得进入下一步评标。第五章“评标方法（综合评分法）”的第一款各项评审内容及标准均为招标文件的实质性要求，投标文件响应各款所列材料在开标后不得澄清、后补。并向评标委员会提交资格审查报告。</w:t>
      </w:r>
    </w:p>
    <w:p w14:paraId="00F7B017">
      <w:pPr>
        <w:pStyle w:val="4"/>
        <w:spacing w:before="156" w:beforeLines="50" w:after="156" w:afterLines="50"/>
        <w:ind w:left="0" w:firstLine="0"/>
        <w:rPr>
          <w:rFonts w:hint="eastAsia" w:ascii="宋体" w:hAnsi="宋体" w:eastAsia="宋体" w:cs="宋体"/>
          <w:szCs w:val="28"/>
        </w:rPr>
      </w:pPr>
      <w:bookmarkStart w:id="90" w:name="_Toc32631"/>
      <w:bookmarkStart w:id="91" w:name="_Toc3027"/>
      <w:bookmarkStart w:id="92" w:name="_Toc9661"/>
      <w:bookmarkStart w:id="93" w:name="_Toc6296"/>
      <w:r>
        <w:rPr>
          <w:rFonts w:hint="eastAsia" w:ascii="宋体" w:hAnsi="宋体" w:eastAsia="宋体" w:cs="宋体"/>
          <w:szCs w:val="28"/>
        </w:rPr>
        <w:t>六、评标</w:t>
      </w:r>
      <w:bookmarkEnd w:id="90"/>
      <w:bookmarkEnd w:id="91"/>
      <w:bookmarkEnd w:id="92"/>
      <w:bookmarkEnd w:id="93"/>
    </w:p>
    <w:p w14:paraId="392B189B">
      <w:pPr>
        <w:spacing w:line="360" w:lineRule="auto"/>
        <w:jc w:val="left"/>
        <w:rPr>
          <w:rFonts w:hint="eastAsia" w:ascii="宋体" w:hAnsi="宋体" w:cs="宋体"/>
          <w:b/>
          <w:sz w:val="24"/>
        </w:rPr>
      </w:pPr>
      <w:r>
        <w:rPr>
          <w:rFonts w:hint="eastAsia" w:ascii="宋体" w:hAnsi="宋体" w:cs="宋体"/>
          <w:b/>
          <w:sz w:val="24"/>
        </w:rPr>
        <w:t>6.1评标委员会</w:t>
      </w:r>
    </w:p>
    <w:p w14:paraId="455BB944">
      <w:pPr>
        <w:spacing w:line="360" w:lineRule="auto"/>
        <w:ind w:firstLine="480" w:firstLineChars="200"/>
        <w:jc w:val="left"/>
        <w:rPr>
          <w:rFonts w:hint="eastAsia" w:ascii="宋体" w:hAnsi="宋体" w:cs="宋体"/>
          <w:sz w:val="24"/>
        </w:rPr>
      </w:pPr>
      <w:r>
        <w:rPr>
          <w:rFonts w:hint="eastAsia" w:ascii="宋体" w:hAnsi="宋体" w:cs="宋体"/>
          <w:sz w:val="24"/>
        </w:rPr>
        <w:t>6.1.1评标由采购人依法组建的评标委员会负责。评标委员会由采购人代表和有关技术、经济等方面的专家组成，成员人数应当为5人或以上单数。其中，技术、经济等方面的专家不得少于成员总数的三分之二。评标委员会应当推选组长，但采购人代表不得担任组长。</w:t>
      </w:r>
    </w:p>
    <w:p w14:paraId="6ADF4B87">
      <w:pPr>
        <w:spacing w:line="360" w:lineRule="auto"/>
        <w:ind w:firstLine="480" w:firstLineChars="200"/>
        <w:jc w:val="left"/>
        <w:rPr>
          <w:rFonts w:hint="eastAsia" w:ascii="宋体" w:hAnsi="宋体" w:cs="宋体"/>
          <w:sz w:val="24"/>
        </w:rPr>
      </w:pPr>
      <w:r>
        <w:rPr>
          <w:rFonts w:hint="eastAsia" w:ascii="宋体" w:hAnsi="宋体" w:cs="宋体"/>
          <w:sz w:val="24"/>
        </w:rPr>
        <w:t>6.1.2评审专家对本单位的采购项目只能作为采购人代表参与评标，对技术复杂、专业性强的采购项目，通过随机方式难以确定合适评审专家的，经主管预算单位同意，采购人可以自行选定相应专业领域的评审专家。采购代理机构工作人员不得参加由本机构代理的政府采购项目的评标。</w:t>
      </w:r>
    </w:p>
    <w:p w14:paraId="1361747B">
      <w:pPr>
        <w:spacing w:line="360" w:lineRule="auto"/>
        <w:ind w:firstLine="480" w:firstLineChars="200"/>
        <w:jc w:val="left"/>
        <w:rPr>
          <w:rFonts w:hint="eastAsia" w:ascii="宋体" w:hAnsi="宋体" w:cs="宋体"/>
          <w:sz w:val="24"/>
        </w:rPr>
      </w:pPr>
      <w:r>
        <w:rPr>
          <w:rFonts w:hint="eastAsia" w:ascii="宋体" w:hAnsi="宋体" w:cs="宋体"/>
          <w:sz w:val="24"/>
        </w:rPr>
        <w:t>6.1.3采购人委派代表参加评标委员会的，要向采购代理机构出具授权函。</w:t>
      </w:r>
    </w:p>
    <w:p w14:paraId="1CBE3EAB">
      <w:pPr>
        <w:spacing w:line="360" w:lineRule="auto"/>
        <w:ind w:firstLine="480" w:firstLineChars="200"/>
        <w:jc w:val="left"/>
        <w:rPr>
          <w:rFonts w:hint="eastAsia" w:ascii="宋体" w:hAnsi="宋体" w:cs="宋体"/>
          <w:sz w:val="24"/>
        </w:rPr>
      </w:pPr>
      <w:r>
        <w:rPr>
          <w:rFonts w:hint="eastAsia" w:ascii="宋体" w:hAnsi="宋体" w:cs="宋体"/>
          <w:sz w:val="24"/>
        </w:rPr>
        <w:t>6.1.4评标委员会成员有下列情形之一的，应当回避：</w:t>
      </w:r>
    </w:p>
    <w:p w14:paraId="4976F180">
      <w:pPr>
        <w:spacing w:line="360" w:lineRule="auto"/>
        <w:ind w:firstLine="480" w:firstLineChars="200"/>
        <w:jc w:val="left"/>
        <w:rPr>
          <w:rFonts w:hint="eastAsia" w:ascii="宋体" w:hAnsi="宋体" w:cs="宋体"/>
          <w:sz w:val="24"/>
        </w:rPr>
      </w:pPr>
      <w:r>
        <w:rPr>
          <w:rFonts w:hint="eastAsia" w:ascii="宋体" w:hAnsi="宋体" w:cs="宋体"/>
          <w:sz w:val="24"/>
        </w:rPr>
        <w:t>（1）采购人或投标人的主要负责人的近亲属；</w:t>
      </w:r>
    </w:p>
    <w:p w14:paraId="731B8AFF">
      <w:pPr>
        <w:spacing w:line="360" w:lineRule="auto"/>
        <w:ind w:firstLine="480" w:firstLineChars="200"/>
        <w:jc w:val="left"/>
        <w:rPr>
          <w:rFonts w:hint="eastAsia" w:ascii="宋体" w:hAnsi="宋体" w:cs="宋体"/>
          <w:sz w:val="24"/>
        </w:rPr>
      </w:pPr>
      <w:r>
        <w:rPr>
          <w:rFonts w:hint="eastAsia" w:ascii="宋体" w:hAnsi="宋体" w:cs="宋体"/>
          <w:sz w:val="24"/>
        </w:rPr>
        <w:t>（2）项目主管部门或者行政监督部门的人员；</w:t>
      </w:r>
    </w:p>
    <w:p w14:paraId="02B04E21">
      <w:pPr>
        <w:spacing w:line="360" w:lineRule="auto"/>
        <w:ind w:firstLine="480" w:firstLineChars="200"/>
        <w:jc w:val="left"/>
        <w:rPr>
          <w:rFonts w:hint="eastAsia" w:ascii="宋体" w:hAnsi="宋体" w:cs="宋体"/>
          <w:sz w:val="24"/>
        </w:rPr>
      </w:pPr>
      <w:r>
        <w:rPr>
          <w:rFonts w:hint="eastAsia" w:ascii="宋体" w:hAnsi="宋体" w:cs="宋体"/>
          <w:sz w:val="24"/>
        </w:rPr>
        <w:t>（3）与投标人有经济利益关系，可能影响对投标公正评审的；</w:t>
      </w:r>
    </w:p>
    <w:p w14:paraId="40B1F445">
      <w:pPr>
        <w:spacing w:line="360" w:lineRule="auto"/>
        <w:ind w:firstLine="480" w:firstLineChars="200"/>
        <w:jc w:val="left"/>
        <w:rPr>
          <w:rFonts w:hint="eastAsia" w:ascii="宋体" w:hAnsi="宋体" w:cs="宋体"/>
          <w:sz w:val="24"/>
        </w:rPr>
      </w:pPr>
      <w:r>
        <w:rPr>
          <w:rFonts w:hint="eastAsia" w:ascii="宋体" w:hAnsi="宋体" w:cs="宋体"/>
          <w:sz w:val="24"/>
        </w:rPr>
        <w:t>（4）曾因在招标、评标以及其他与招标投标有关活动中从事违法行为而受过行政处罚或刑事处罚的。</w:t>
      </w:r>
    </w:p>
    <w:p w14:paraId="05F4E253">
      <w:pPr>
        <w:spacing w:line="360" w:lineRule="auto"/>
        <w:ind w:firstLine="480" w:firstLineChars="200"/>
        <w:jc w:val="left"/>
        <w:rPr>
          <w:rFonts w:hint="eastAsia" w:ascii="宋体" w:hAnsi="宋体" w:cs="宋体"/>
          <w:sz w:val="24"/>
        </w:rPr>
      </w:pPr>
      <w:r>
        <w:rPr>
          <w:rFonts w:hint="eastAsia" w:ascii="宋体" w:hAnsi="宋体" w:cs="宋体"/>
          <w:sz w:val="24"/>
        </w:rPr>
        <w:t>评审专家发现本人与参加采购活动的投标人有利害关系的，应当主动提出回避。采购人或者采购代理机构发现评审专家与参加采购活动的投标人有利害关系的，应当要求其回避。</w:t>
      </w:r>
    </w:p>
    <w:p w14:paraId="1E9B39CF">
      <w:pPr>
        <w:spacing w:line="360" w:lineRule="auto"/>
        <w:ind w:firstLine="480" w:firstLineChars="200"/>
        <w:jc w:val="left"/>
        <w:rPr>
          <w:rFonts w:hint="eastAsia" w:ascii="宋体" w:hAnsi="宋体" w:cs="宋体"/>
          <w:sz w:val="24"/>
        </w:rPr>
      </w:pPr>
      <w:r>
        <w:rPr>
          <w:rFonts w:hint="eastAsia" w:ascii="宋体" w:hAnsi="宋体" w:cs="宋体"/>
          <w:sz w:val="24"/>
        </w:rPr>
        <w:t>6.1.5评标中因评标委员会成员缺席、回避或者健康等特殊原因导致评标委员会组成不符合招标文件规定的，采购人或者采购代理机构应当按规定补足后继续评标。被更换的评标委员会成员所作出的评标意见无效。无法及时补足评标委员会成员的，采购人或者采购代理机构应当停止评标活动，封存所有投标文件和开标、评标资料，重新组建评标委员会进行评标。原评标委员会所作出的评标意见无效。采购人或者采购代理机构应当将变更、重新组建评标委员会的情况予以记录，并随招标文件一并存档。</w:t>
      </w:r>
    </w:p>
    <w:p w14:paraId="440581C1">
      <w:pPr>
        <w:spacing w:line="360" w:lineRule="auto"/>
        <w:ind w:firstLine="480" w:firstLineChars="200"/>
        <w:jc w:val="left"/>
        <w:rPr>
          <w:rFonts w:hint="eastAsia" w:ascii="宋体" w:hAnsi="宋体" w:cs="宋体"/>
          <w:sz w:val="24"/>
        </w:rPr>
      </w:pPr>
      <w:r>
        <w:rPr>
          <w:rFonts w:hint="eastAsia" w:ascii="宋体" w:hAnsi="宋体" w:cs="宋体"/>
          <w:sz w:val="24"/>
        </w:rPr>
        <w:t>6.1.6评标委员会负责具体评标事务，并独立履行下列职责：</w:t>
      </w:r>
    </w:p>
    <w:p w14:paraId="224FB4DD">
      <w:pPr>
        <w:spacing w:line="360" w:lineRule="auto"/>
        <w:ind w:firstLine="480" w:firstLineChars="200"/>
        <w:jc w:val="left"/>
        <w:rPr>
          <w:rFonts w:hint="eastAsia" w:ascii="宋体" w:hAnsi="宋体" w:cs="宋体"/>
          <w:sz w:val="24"/>
        </w:rPr>
      </w:pPr>
      <w:r>
        <w:rPr>
          <w:rFonts w:hint="eastAsia" w:ascii="宋体" w:hAnsi="宋体" w:cs="宋体"/>
          <w:sz w:val="24"/>
        </w:rPr>
        <w:t>（1）审查、评价投标文件是否符合招标文件的商务、技术等实质性要求；</w:t>
      </w:r>
    </w:p>
    <w:p w14:paraId="66DA3D67">
      <w:pPr>
        <w:spacing w:line="360" w:lineRule="auto"/>
        <w:ind w:firstLine="480" w:firstLineChars="200"/>
        <w:jc w:val="left"/>
        <w:rPr>
          <w:rFonts w:hint="eastAsia" w:ascii="宋体" w:hAnsi="宋体" w:cs="宋体"/>
          <w:sz w:val="24"/>
        </w:rPr>
      </w:pPr>
      <w:r>
        <w:rPr>
          <w:rFonts w:hint="eastAsia" w:ascii="宋体" w:hAnsi="宋体" w:cs="宋体"/>
          <w:sz w:val="24"/>
        </w:rPr>
        <w:t>（2）要求投标人对投标文件有关事项作出澄清或者说明；</w:t>
      </w:r>
    </w:p>
    <w:p w14:paraId="5D727E52">
      <w:pPr>
        <w:spacing w:line="360" w:lineRule="auto"/>
        <w:ind w:firstLine="480" w:firstLineChars="200"/>
        <w:jc w:val="left"/>
        <w:rPr>
          <w:rFonts w:hint="eastAsia" w:ascii="宋体" w:hAnsi="宋体" w:cs="宋体"/>
          <w:sz w:val="24"/>
        </w:rPr>
      </w:pPr>
      <w:r>
        <w:rPr>
          <w:rFonts w:hint="eastAsia" w:ascii="宋体" w:hAnsi="宋体" w:cs="宋体"/>
          <w:sz w:val="24"/>
        </w:rPr>
        <w:t>（3）对投标文件进行比较和评价；</w:t>
      </w:r>
    </w:p>
    <w:p w14:paraId="0C64EAD5">
      <w:pPr>
        <w:spacing w:line="360" w:lineRule="auto"/>
        <w:ind w:firstLine="480" w:firstLineChars="200"/>
        <w:jc w:val="left"/>
        <w:rPr>
          <w:rFonts w:hint="eastAsia" w:ascii="宋体" w:hAnsi="宋体" w:cs="宋体"/>
          <w:sz w:val="24"/>
        </w:rPr>
      </w:pPr>
      <w:r>
        <w:rPr>
          <w:rFonts w:hint="eastAsia" w:ascii="宋体" w:hAnsi="宋体" w:cs="宋体"/>
          <w:sz w:val="24"/>
        </w:rPr>
        <w:t>（4）确定中标候选人名单，以及根据采购人委托直接确定中标人；</w:t>
      </w:r>
    </w:p>
    <w:p w14:paraId="16919518">
      <w:pPr>
        <w:spacing w:line="360" w:lineRule="auto"/>
        <w:ind w:firstLine="480" w:firstLineChars="200"/>
        <w:jc w:val="left"/>
        <w:rPr>
          <w:rFonts w:hint="eastAsia" w:ascii="宋体" w:hAnsi="宋体" w:cs="宋体"/>
          <w:sz w:val="24"/>
        </w:rPr>
      </w:pPr>
      <w:r>
        <w:rPr>
          <w:rFonts w:hint="eastAsia" w:ascii="宋体" w:hAnsi="宋体" w:cs="宋体"/>
          <w:sz w:val="24"/>
        </w:rPr>
        <w:t>（5）向采购人、采购代理机构或者有关部门报告评标中发现的违法行为。</w:t>
      </w:r>
    </w:p>
    <w:p w14:paraId="6A117788">
      <w:pPr>
        <w:spacing w:line="360" w:lineRule="auto"/>
        <w:jc w:val="left"/>
        <w:rPr>
          <w:rFonts w:hint="eastAsia" w:ascii="宋体" w:hAnsi="宋体" w:cs="宋体"/>
          <w:b/>
          <w:sz w:val="24"/>
        </w:rPr>
      </w:pPr>
      <w:r>
        <w:rPr>
          <w:rFonts w:hint="eastAsia" w:ascii="宋体" w:hAnsi="宋体" w:cs="宋体"/>
          <w:b/>
          <w:sz w:val="24"/>
        </w:rPr>
        <w:t>6.2评标工作</w:t>
      </w:r>
    </w:p>
    <w:p w14:paraId="3B2396FD">
      <w:pPr>
        <w:pStyle w:val="12"/>
        <w:spacing w:line="360" w:lineRule="auto"/>
        <w:ind w:firstLine="480" w:firstLineChars="200"/>
        <w:rPr>
          <w:rFonts w:hint="eastAsia" w:hAnsi="宋体" w:cs="宋体"/>
          <w:bCs/>
          <w:sz w:val="24"/>
          <w:szCs w:val="24"/>
        </w:rPr>
      </w:pPr>
      <w:r>
        <w:rPr>
          <w:rFonts w:hint="eastAsia" w:hAnsi="宋体" w:cs="宋体"/>
          <w:bCs/>
          <w:sz w:val="24"/>
          <w:szCs w:val="24"/>
        </w:rPr>
        <w:t>6.2.1评标原则</w:t>
      </w:r>
    </w:p>
    <w:p w14:paraId="5F64480B">
      <w:pPr>
        <w:pStyle w:val="12"/>
        <w:spacing w:line="360" w:lineRule="auto"/>
        <w:ind w:firstLine="480" w:firstLineChars="200"/>
        <w:rPr>
          <w:rFonts w:hint="eastAsia" w:hAnsi="宋体" w:cs="宋体"/>
          <w:bCs/>
          <w:sz w:val="24"/>
          <w:szCs w:val="24"/>
        </w:rPr>
      </w:pPr>
      <w:r>
        <w:rPr>
          <w:rFonts w:hint="eastAsia" w:hAnsi="宋体" w:cs="宋体"/>
          <w:bCs/>
          <w:sz w:val="24"/>
          <w:szCs w:val="24"/>
        </w:rPr>
        <w:t>评标活动遵循公平、公正、科学和择优的原则。</w:t>
      </w:r>
    </w:p>
    <w:p w14:paraId="252CA98F">
      <w:pPr>
        <w:pStyle w:val="12"/>
        <w:spacing w:line="360" w:lineRule="auto"/>
        <w:ind w:firstLine="480" w:firstLineChars="200"/>
        <w:rPr>
          <w:rFonts w:hint="eastAsia" w:hAnsi="宋体" w:cs="宋体"/>
          <w:bCs/>
          <w:sz w:val="24"/>
          <w:szCs w:val="24"/>
        </w:rPr>
      </w:pPr>
      <w:r>
        <w:rPr>
          <w:rFonts w:hint="eastAsia" w:hAnsi="宋体" w:cs="宋体"/>
          <w:bCs/>
          <w:sz w:val="24"/>
          <w:szCs w:val="24"/>
        </w:rPr>
        <w:t>6.2.2评标方法</w:t>
      </w:r>
    </w:p>
    <w:p w14:paraId="3D71AB71">
      <w:pPr>
        <w:pStyle w:val="12"/>
        <w:spacing w:line="360" w:lineRule="auto"/>
        <w:ind w:firstLine="480" w:firstLineChars="200"/>
        <w:rPr>
          <w:rFonts w:hint="eastAsia" w:hAnsi="宋体" w:cs="宋体"/>
          <w:bCs/>
          <w:sz w:val="24"/>
          <w:szCs w:val="24"/>
        </w:rPr>
      </w:pPr>
      <w:r>
        <w:rPr>
          <w:rFonts w:hint="eastAsia" w:hAnsi="宋体" w:cs="宋体"/>
          <w:bCs/>
          <w:sz w:val="24"/>
          <w:szCs w:val="24"/>
        </w:rPr>
        <w:t>本项目的具体评标方法详见第五章。</w:t>
      </w:r>
    </w:p>
    <w:p w14:paraId="4CCAD562">
      <w:pPr>
        <w:pStyle w:val="12"/>
        <w:spacing w:line="360" w:lineRule="auto"/>
        <w:ind w:firstLine="480" w:firstLineChars="200"/>
        <w:rPr>
          <w:rFonts w:hint="eastAsia" w:hAnsi="宋体" w:cs="宋体"/>
          <w:bCs/>
          <w:sz w:val="24"/>
          <w:szCs w:val="24"/>
        </w:rPr>
      </w:pPr>
      <w:r>
        <w:rPr>
          <w:rFonts w:hint="eastAsia" w:hAnsi="宋体" w:cs="宋体"/>
          <w:bCs/>
          <w:sz w:val="24"/>
          <w:szCs w:val="24"/>
        </w:rPr>
        <w:t>6.2.3评标工作程序</w:t>
      </w:r>
    </w:p>
    <w:p w14:paraId="1C68E772">
      <w:pPr>
        <w:pStyle w:val="9"/>
        <w:spacing w:line="360" w:lineRule="auto"/>
        <w:ind w:firstLine="480" w:firstLineChars="200"/>
        <w:jc w:val="both"/>
        <w:rPr>
          <w:rFonts w:hint="eastAsia" w:ascii="宋体" w:hAnsi="宋体" w:cs="宋体"/>
          <w:sz w:val="24"/>
        </w:rPr>
      </w:pPr>
      <w:r>
        <w:rPr>
          <w:rFonts w:hint="eastAsia" w:ascii="宋体" w:hAnsi="宋体" w:cs="宋体"/>
          <w:sz w:val="24"/>
        </w:rPr>
        <w:t>评标委员会按照第五章“评标方法”规定的方法、评审因素、标准和程序对投标文件进行评审。第五章“评标方法”没有规定的方法、评审因素和标准，不作为评标依据。</w:t>
      </w:r>
      <w:r>
        <w:rPr>
          <w:rFonts w:hint="eastAsia" w:ascii="宋体" w:hAnsi="宋体" w:cs="宋体"/>
          <w:bCs/>
          <w:kern w:val="1"/>
          <w:sz w:val="24"/>
        </w:rPr>
        <w:t>评标完成后，评标委员会应向采购人提交书面评标报告。</w:t>
      </w:r>
    </w:p>
    <w:p w14:paraId="7F83C7E4">
      <w:pPr>
        <w:pStyle w:val="12"/>
        <w:spacing w:line="360" w:lineRule="auto"/>
        <w:ind w:firstLine="480" w:firstLineChars="200"/>
        <w:rPr>
          <w:rFonts w:hint="eastAsia" w:hAnsi="宋体" w:cs="宋体"/>
          <w:sz w:val="24"/>
          <w:szCs w:val="24"/>
        </w:rPr>
      </w:pPr>
      <w:r>
        <w:rPr>
          <w:rFonts w:hint="eastAsia" w:hAnsi="宋体" w:cs="宋体"/>
          <w:sz w:val="24"/>
          <w:szCs w:val="24"/>
        </w:rPr>
        <w:t>6.2.4评标过程的保密。开标后，直到授予投标人合同止，凡是属于审查、澄清、评审和比较的有关资料以及授标建议等均不得向投标人或其他无关的人员透露。投标人在评标过程中，所进行的力图影响评标结果的不公正活动，可能导致其投标被拒绝。</w:t>
      </w:r>
    </w:p>
    <w:p w14:paraId="7D9880F7">
      <w:pPr>
        <w:pStyle w:val="12"/>
        <w:spacing w:line="360" w:lineRule="auto"/>
        <w:rPr>
          <w:rFonts w:hint="eastAsia" w:hAnsi="宋体" w:cs="宋体"/>
          <w:b/>
          <w:sz w:val="24"/>
          <w:szCs w:val="24"/>
        </w:rPr>
      </w:pPr>
      <w:r>
        <w:rPr>
          <w:rFonts w:hint="eastAsia" w:hAnsi="宋体" w:cs="宋体"/>
          <w:b/>
          <w:sz w:val="24"/>
          <w:szCs w:val="24"/>
        </w:rPr>
        <w:t>6.3投标文件计算错误的修正</w:t>
      </w:r>
    </w:p>
    <w:p w14:paraId="5E988FC5">
      <w:pPr>
        <w:pStyle w:val="12"/>
        <w:spacing w:line="360" w:lineRule="auto"/>
        <w:ind w:firstLine="480" w:firstLineChars="200"/>
        <w:rPr>
          <w:rFonts w:hint="eastAsia" w:hAnsi="宋体" w:cs="宋体"/>
          <w:bCs/>
          <w:sz w:val="24"/>
          <w:szCs w:val="24"/>
        </w:rPr>
      </w:pPr>
      <w:r>
        <w:rPr>
          <w:rFonts w:hint="eastAsia" w:hAnsi="宋体" w:cs="宋体"/>
          <w:bCs/>
          <w:sz w:val="24"/>
          <w:szCs w:val="24"/>
        </w:rPr>
        <w:t>6.3.1投标文件报价出现前后不一致的，除招标文件另有规定外，按照下列规定修正：</w:t>
      </w:r>
    </w:p>
    <w:p w14:paraId="1DD06524">
      <w:pPr>
        <w:pStyle w:val="12"/>
        <w:spacing w:line="360" w:lineRule="auto"/>
        <w:ind w:firstLine="480" w:firstLineChars="200"/>
        <w:rPr>
          <w:rFonts w:hint="eastAsia" w:hAnsi="宋体" w:cs="宋体"/>
          <w:bCs/>
          <w:sz w:val="24"/>
          <w:szCs w:val="24"/>
        </w:rPr>
      </w:pPr>
      <w:r>
        <w:rPr>
          <w:rFonts w:hint="eastAsia" w:hAnsi="宋体" w:cs="宋体"/>
          <w:bCs/>
          <w:sz w:val="24"/>
          <w:szCs w:val="24"/>
        </w:rPr>
        <w:t>（1）投标文件中开标一览表（报价表）内容与投标文件中相应内容不一致的，以开标一览表（报价表）为准；</w:t>
      </w:r>
    </w:p>
    <w:p w14:paraId="5EC4D11F">
      <w:pPr>
        <w:pStyle w:val="12"/>
        <w:spacing w:line="360" w:lineRule="auto"/>
        <w:ind w:firstLine="480" w:firstLineChars="200"/>
        <w:rPr>
          <w:rFonts w:hint="eastAsia" w:hAnsi="宋体" w:cs="宋体"/>
          <w:bCs/>
          <w:sz w:val="24"/>
          <w:szCs w:val="24"/>
        </w:rPr>
      </w:pPr>
      <w:r>
        <w:rPr>
          <w:rFonts w:hint="eastAsia" w:hAnsi="宋体" w:cs="宋体"/>
          <w:bCs/>
          <w:sz w:val="24"/>
          <w:szCs w:val="24"/>
        </w:rPr>
        <w:t>（2）大写金额和小写金额不一致的，以大写金额为准；</w:t>
      </w:r>
    </w:p>
    <w:p w14:paraId="3F977132">
      <w:pPr>
        <w:pStyle w:val="12"/>
        <w:spacing w:line="360" w:lineRule="auto"/>
        <w:ind w:firstLine="480" w:firstLineChars="200"/>
        <w:rPr>
          <w:rFonts w:hint="eastAsia" w:hAnsi="宋体" w:cs="宋体"/>
          <w:bCs/>
          <w:sz w:val="24"/>
          <w:szCs w:val="24"/>
        </w:rPr>
      </w:pPr>
      <w:r>
        <w:rPr>
          <w:rFonts w:hint="eastAsia" w:hAnsi="宋体" w:cs="宋体"/>
          <w:bCs/>
          <w:sz w:val="24"/>
          <w:szCs w:val="24"/>
        </w:rPr>
        <w:t>（3）单价金额小数点或者百分比有明显错位的，以开标一览表的总价为准，并修改单价；</w:t>
      </w:r>
    </w:p>
    <w:p w14:paraId="2FDE6A53">
      <w:pPr>
        <w:pStyle w:val="12"/>
        <w:spacing w:line="360" w:lineRule="auto"/>
        <w:ind w:firstLine="480" w:firstLineChars="200"/>
        <w:rPr>
          <w:rFonts w:hint="eastAsia" w:hAnsi="宋体" w:cs="宋体"/>
          <w:bCs/>
          <w:sz w:val="24"/>
          <w:szCs w:val="24"/>
        </w:rPr>
      </w:pPr>
      <w:r>
        <w:rPr>
          <w:rFonts w:hint="eastAsia" w:hAnsi="宋体" w:cs="宋体"/>
          <w:bCs/>
          <w:sz w:val="24"/>
          <w:szCs w:val="24"/>
        </w:rPr>
        <w:t>（4）总价金额与按单价汇总金额不一致的，以单价金额计算结果为准。</w:t>
      </w:r>
    </w:p>
    <w:p w14:paraId="02A1BFDB">
      <w:pPr>
        <w:pStyle w:val="12"/>
        <w:spacing w:line="360" w:lineRule="auto"/>
        <w:ind w:firstLine="480" w:firstLineChars="200"/>
        <w:rPr>
          <w:rFonts w:hint="eastAsia" w:hAnsi="宋体" w:cs="宋体"/>
          <w:bCs/>
          <w:sz w:val="24"/>
          <w:szCs w:val="24"/>
        </w:rPr>
      </w:pPr>
      <w:r>
        <w:rPr>
          <w:rFonts w:hint="eastAsia" w:hAnsi="宋体" w:cs="宋体"/>
          <w:bCs/>
          <w:sz w:val="24"/>
          <w:szCs w:val="24"/>
        </w:rPr>
        <w:t>（5）按上述修正错误的原则及方法调整或修正投标文件的投标报价，同时出现两种以上不一致的，按照前款规定的顺序修正。投标人同意后，调整后的投标报价对投标人起约束作用。如果投标人不接受修正后的报价，则其投标按无效标处理。</w:t>
      </w:r>
    </w:p>
    <w:p w14:paraId="1249F5E6">
      <w:pPr>
        <w:pStyle w:val="12"/>
        <w:spacing w:line="360" w:lineRule="auto"/>
        <w:rPr>
          <w:rFonts w:hint="eastAsia" w:hAnsi="宋体" w:cs="宋体"/>
          <w:b/>
          <w:sz w:val="24"/>
          <w:szCs w:val="24"/>
        </w:rPr>
      </w:pPr>
      <w:r>
        <w:rPr>
          <w:rFonts w:hint="eastAsia" w:hAnsi="宋体" w:cs="宋体"/>
          <w:b/>
          <w:sz w:val="24"/>
          <w:szCs w:val="24"/>
        </w:rPr>
        <w:t>6.4投标无效的情形</w:t>
      </w:r>
    </w:p>
    <w:p w14:paraId="3A6B3B05">
      <w:pPr>
        <w:pStyle w:val="12"/>
        <w:spacing w:line="360" w:lineRule="auto"/>
        <w:ind w:firstLine="480" w:firstLineChars="200"/>
        <w:rPr>
          <w:rFonts w:hint="eastAsia" w:hAnsi="宋体" w:cs="宋体"/>
          <w:bCs/>
          <w:sz w:val="24"/>
          <w:szCs w:val="24"/>
        </w:rPr>
      </w:pPr>
      <w:r>
        <w:rPr>
          <w:rFonts w:hint="eastAsia" w:hAnsi="宋体" w:cs="宋体"/>
          <w:bCs/>
          <w:sz w:val="24"/>
          <w:szCs w:val="24"/>
        </w:rPr>
        <w:t>实质上没有响应招标文件要求的投标将被视为无效投标。投标人不得通过修正或撤消不合要求的偏离或保留从而使其投标成为实质上响应的投标，但经评标委员会认定属于投标人疏忽、笔误所造成的差错，应当允许其在评标结束之前进行修改或者补正（可以是扫描件、传真件等，原件必须加盖单位公章）。修改或者补正投标文件必须以书面形式进行，并应在中标结果公告之前查核原件。限期内不补正或经补正后仍不符合招标文件要求的，应认定其投标无效。投标人修改、补正投标文件后，不影响评标委员会对其投标文件所作的评审结果。</w:t>
      </w:r>
    </w:p>
    <w:p w14:paraId="3EC3FDB7">
      <w:pPr>
        <w:pStyle w:val="12"/>
        <w:spacing w:line="360" w:lineRule="auto"/>
        <w:ind w:firstLine="480" w:firstLineChars="200"/>
        <w:rPr>
          <w:rFonts w:hint="eastAsia" w:hAnsi="宋体" w:cs="宋体"/>
          <w:bCs/>
          <w:sz w:val="24"/>
          <w:szCs w:val="24"/>
        </w:rPr>
      </w:pPr>
      <w:r>
        <w:rPr>
          <w:rFonts w:hint="eastAsia" w:hAnsi="宋体" w:cs="宋体"/>
          <w:bCs/>
          <w:sz w:val="24"/>
          <w:szCs w:val="24"/>
        </w:rPr>
        <w:t>6.4.1在符合性审查时，如发现下列情形之一的，投标文件将被视为无效：</w:t>
      </w:r>
    </w:p>
    <w:p w14:paraId="7FE93995">
      <w:pPr>
        <w:pStyle w:val="12"/>
        <w:spacing w:line="360" w:lineRule="auto"/>
        <w:ind w:firstLine="480" w:firstLineChars="200"/>
        <w:rPr>
          <w:rFonts w:hint="eastAsia" w:hAnsi="宋体" w:cs="宋体"/>
          <w:bCs/>
          <w:sz w:val="24"/>
          <w:szCs w:val="24"/>
        </w:rPr>
      </w:pPr>
      <w:r>
        <w:rPr>
          <w:rFonts w:hint="eastAsia" w:hAnsi="宋体" w:cs="宋体"/>
          <w:bCs/>
          <w:sz w:val="24"/>
          <w:szCs w:val="24"/>
        </w:rPr>
        <w:t>（1）未按照招标文件的规定提交投标保证金的；</w:t>
      </w:r>
    </w:p>
    <w:p w14:paraId="3152FCBF">
      <w:pPr>
        <w:pStyle w:val="12"/>
        <w:spacing w:line="360" w:lineRule="auto"/>
        <w:ind w:firstLine="480" w:firstLineChars="200"/>
        <w:rPr>
          <w:rFonts w:hint="eastAsia" w:hAnsi="宋体" w:cs="宋体"/>
          <w:bCs/>
          <w:sz w:val="24"/>
          <w:szCs w:val="24"/>
        </w:rPr>
      </w:pPr>
      <w:r>
        <w:rPr>
          <w:rFonts w:hint="eastAsia" w:hAnsi="宋体" w:cs="宋体"/>
          <w:bCs/>
          <w:sz w:val="24"/>
          <w:szCs w:val="24"/>
        </w:rPr>
        <w:t>（2）报价超过招标文件中规定的预算金额且采购人不能承担的；</w:t>
      </w:r>
    </w:p>
    <w:p w14:paraId="57B6E95A">
      <w:pPr>
        <w:pStyle w:val="12"/>
        <w:spacing w:line="360" w:lineRule="auto"/>
        <w:ind w:firstLine="480" w:firstLineChars="200"/>
        <w:rPr>
          <w:rFonts w:hint="eastAsia" w:hAnsi="宋体" w:cs="宋体"/>
          <w:bCs/>
          <w:sz w:val="24"/>
          <w:szCs w:val="24"/>
        </w:rPr>
      </w:pPr>
      <w:r>
        <w:rPr>
          <w:rFonts w:hint="eastAsia" w:hAnsi="宋体" w:cs="宋体"/>
          <w:bCs/>
          <w:sz w:val="24"/>
          <w:szCs w:val="24"/>
        </w:rPr>
        <w:t>（3）投标文件的签署不符合第二章投标人须知前附表第22项规定；</w:t>
      </w:r>
    </w:p>
    <w:p w14:paraId="1F2303DB">
      <w:pPr>
        <w:pStyle w:val="12"/>
        <w:spacing w:line="360" w:lineRule="auto"/>
        <w:ind w:firstLine="480" w:firstLineChars="200"/>
        <w:rPr>
          <w:rFonts w:hint="eastAsia" w:hAnsi="宋体" w:cs="宋体"/>
          <w:bCs/>
          <w:sz w:val="24"/>
          <w:szCs w:val="24"/>
        </w:rPr>
      </w:pPr>
      <w:r>
        <w:rPr>
          <w:rFonts w:hint="eastAsia" w:hAnsi="宋体" w:cs="宋体"/>
          <w:bCs/>
          <w:sz w:val="24"/>
          <w:szCs w:val="24"/>
        </w:rPr>
        <w:t>（4）法人身份证明书、授权委托书不符合招标文件要求；</w:t>
      </w:r>
    </w:p>
    <w:p w14:paraId="1D579A17">
      <w:pPr>
        <w:pStyle w:val="12"/>
        <w:spacing w:line="360" w:lineRule="auto"/>
        <w:ind w:firstLine="480" w:firstLineChars="200"/>
        <w:rPr>
          <w:rFonts w:hint="eastAsia" w:hAnsi="宋体" w:cs="宋体"/>
          <w:bCs/>
          <w:sz w:val="24"/>
          <w:szCs w:val="24"/>
        </w:rPr>
      </w:pPr>
      <w:r>
        <w:rPr>
          <w:rFonts w:hint="eastAsia" w:hAnsi="宋体" w:cs="宋体"/>
          <w:bCs/>
          <w:sz w:val="24"/>
          <w:szCs w:val="24"/>
        </w:rPr>
        <w:t>（5）投标文件未按照招标文件要求编制的或投标文件关键字迹模糊、无法辨认的；</w:t>
      </w:r>
    </w:p>
    <w:p w14:paraId="44BF1A4E">
      <w:pPr>
        <w:pStyle w:val="12"/>
        <w:spacing w:line="360" w:lineRule="auto"/>
        <w:ind w:firstLine="480" w:firstLineChars="200"/>
        <w:rPr>
          <w:rFonts w:hint="eastAsia" w:hAnsi="宋体" w:cs="宋体"/>
          <w:bCs/>
          <w:sz w:val="24"/>
          <w:szCs w:val="24"/>
        </w:rPr>
      </w:pPr>
      <w:r>
        <w:rPr>
          <w:rFonts w:hint="eastAsia" w:hAnsi="宋体" w:cs="宋体"/>
          <w:bCs/>
          <w:sz w:val="24"/>
          <w:szCs w:val="24"/>
        </w:rPr>
        <w:t>（6）法律法规和招标文件规定的其他无效情形或投标文件含有采购人不能接受的附加条件的；</w:t>
      </w:r>
    </w:p>
    <w:p w14:paraId="7260F3C8">
      <w:pPr>
        <w:pStyle w:val="12"/>
        <w:spacing w:line="360" w:lineRule="auto"/>
        <w:ind w:firstLine="480" w:firstLineChars="200"/>
        <w:rPr>
          <w:rFonts w:hint="eastAsia" w:hAnsi="宋体" w:cs="宋体"/>
          <w:bCs/>
          <w:sz w:val="24"/>
          <w:szCs w:val="24"/>
        </w:rPr>
      </w:pPr>
      <w:r>
        <w:rPr>
          <w:rFonts w:hint="eastAsia" w:hAnsi="宋体" w:cs="宋体"/>
          <w:bCs/>
          <w:sz w:val="24"/>
          <w:szCs w:val="24"/>
        </w:rPr>
        <w:t>（7）</w:t>
      </w:r>
      <w:r>
        <w:rPr>
          <w:rFonts w:hint="eastAsia" w:hAnsi="宋体" w:cs="宋体"/>
          <w:sz w:val="24"/>
          <w:szCs w:val="24"/>
        </w:rPr>
        <w:t>不符合招标文件中规定的其它实质性要求，不满足招标文件标注“</w:t>
      </w:r>
      <w:r>
        <w:rPr>
          <w:rFonts w:hint="eastAsia" w:hAnsi="宋体" w:cs="宋体"/>
          <w:b/>
          <w:sz w:val="24"/>
          <w:szCs w:val="24"/>
          <w:lang w:bidi="ar"/>
        </w:rPr>
        <w:t>★</w:t>
      </w:r>
      <w:r>
        <w:rPr>
          <w:rFonts w:hint="eastAsia" w:hAnsi="宋体" w:cs="宋体"/>
          <w:sz w:val="24"/>
          <w:szCs w:val="24"/>
        </w:rPr>
        <w:t>”号条款的实质性要求</w:t>
      </w:r>
      <w:r>
        <w:rPr>
          <w:rFonts w:hint="eastAsia" w:hAnsi="宋体" w:cs="宋体"/>
          <w:bCs/>
          <w:sz w:val="24"/>
          <w:szCs w:val="24"/>
        </w:rPr>
        <w:t>。</w:t>
      </w:r>
    </w:p>
    <w:p w14:paraId="0C752A82">
      <w:pPr>
        <w:pStyle w:val="12"/>
        <w:spacing w:line="360" w:lineRule="auto"/>
        <w:ind w:firstLine="480" w:firstLineChars="200"/>
        <w:rPr>
          <w:rFonts w:hint="eastAsia" w:hAnsi="宋体" w:cs="宋体"/>
          <w:bCs/>
          <w:sz w:val="24"/>
          <w:szCs w:val="24"/>
        </w:rPr>
      </w:pPr>
      <w:r>
        <w:rPr>
          <w:rFonts w:hint="eastAsia" w:hAnsi="宋体" w:cs="宋体"/>
          <w:bCs/>
          <w:sz w:val="24"/>
          <w:szCs w:val="24"/>
        </w:rPr>
        <w:t>6.4.2有下列情形之一的，视为投标人串通投标，其投标无效：</w:t>
      </w:r>
    </w:p>
    <w:p w14:paraId="05EC719B">
      <w:pPr>
        <w:pStyle w:val="12"/>
        <w:spacing w:line="360" w:lineRule="auto"/>
        <w:ind w:firstLine="480" w:firstLineChars="200"/>
        <w:rPr>
          <w:rFonts w:hint="eastAsia" w:hAnsi="宋体" w:cs="宋体"/>
          <w:bCs/>
          <w:sz w:val="24"/>
          <w:szCs w:val="24"/>
        </w:rPr>
      </w:pPr>
      <w:r>
        <w:rPr>
          <w:rFonts w:hint="eastAsia" w:hAnsi="宋体" w:cs="宋体"/>
          <w:bCs/>
          <w:sz w:val="24"/>
          <w:szCs w:val="24"/>
        </w:rPr>
        <w:t>（1）不同投标人的投标文件由同一单位或者个人编制；</w:t>
      </w:r>
    </w:p>
    <w:p w14:paraId="5ACEF982">
      <w:pPr>
        <w:pStyle w:val="12"/>
        <w:spacing w:line="360" w:lineRule="auto"/>
        <w:ind w:firstLine="480" w:firstLineChars="200"/>
        <w:rPr>
          <w:rFonts w:hint="eastAsia" w:hAnsi="宋体" w:cs="宋体"/>
          <w:bCs/>
          <w:sz w:val="24"/>
          <w:szCs w:val="24"/>
        </w:rPr>
      </w:pPr>
      <w:r>
        <w:rPr>
          <w:rFonts w:hint="eastAsia" w:hAnsi="宋体" w:cs="宋体"/>
          <w:bCs/>
          <w:sz w:val="24"/>
          <w:szCs w:val="24"/>
        </w:rPr>
        <w:t>（2）不同投标人委托同一单位或者个人办理投标事宜；</w:t>
      </w:r>
    </w:p>
    <w:p w14:paraId="5146E4E4">
      <w:pPr>
        <w:pStyle w:val="12"/>
        <w:spacing w:line="360" w:lineRule="auto"/>
        <w:ind w:firstLine="480" w:firstLineChars="200"/>
        <w:rPr>
          <w:rFonts w:hint="eastAsia" w:hAnsi="宋体" w:cs="宋体"/>
          <w:bCs/>
          <w:sz w:val="24"/>
          <w:szCs w:val="24"/>
        </w:rPr>
      </w:pPr>
      <w:r>
        <w:rPr>
          <w:rFonts w:hint="eastAsia" w:hAnsi="宋体" w:cs="宋体"/>
          <w:bCs/>
          <w:sz w:val="24"/>
          <w:szCs w:val="24"/>
        </w:rPr>
        <w:t>（3）不同投标人的投标文件载明的项目管理成员或者联系人员为同一人；</w:t>
      </w:r>
    </w:p>
    <w:p w14:paraId="27C7D18D">
      <w:pPr>
        <w:pStyle w:val="12"/>
        <w:spacing w:line="360" w:lineRule="auto"/>
        <w:ind w:firstLine="480" w:firstLineChars="200"/>
        <w:rPr>
          <w:rFonts w:hint="eastAsia" w:hAnsi="宋体" w:cs="宋体"/>
          <w:bCs/>
          <w:sz w:val="24"/>
          <w:szCs w:val="24"/>
        </w:rPr>
      </w:pPr>
      <w:r>
        <w:rPr>
          <w:rFonts w:hint="eastAsia" w:hAnsi="宋体" w:cs="宋体"/>
          <w:bCs/>
          <w:sz w:val="24"/>
          <w:szCs w:val="24"/>
        </w:rPr>
        <w:t>（4）不同投标人的投标文件异常一致或者投标报价呈规律性差异；</w:t>
      </w:r>
    </w:p>
    <w:p w14:paraId="37BED614">
      <w:pPr>
        <w:pStyle w:val="12"/>
        <w:spacing w:line="360" w:lineRule="auto"/>
        <w:ind w:firstLine="480" w:firstLineChars="200"/>
        <w:rPr>
          <w:rFonts w:hint="eastAsia" w:hAnsi="宋体" w:cs="宋体"/>
          <w:bCs/>
          <w:sz w:val="24"/>
          <w:szCs w:val="24"/>
        </w:rPr>
      </w:pPr>
      <w:r>
        <w:rPr>
          <w:rFonts w:hint="eastAsia" w:hAnsi="宋体" w:cs="宋体"/>
          <w:bCs/>
          <w:sz w:val="24"/>
          <w:szCs w:val="24"/>
        </w:rPr>
        <w:t>（5）不同投标人的投标文件相互混装；</w:t>
      </w:r>
    </w:p>
    <w:p w14:paraId="2F279E86">
      <w:pPr>
        <w:pStyle w:val="12"/>
        <w:spacing w:line="360" w:lineRule="auto"/>
        <w:ind w:firstLine="480" w:firstLineChars="200"/>
        <w:rPr>
          <w:rFonts w:hint="eastAsia" w:hAnsi="宋体" w:cs="宋体"/>
          <w:bCs/>
          <w:sz w:val="24"/>
          <w:szCs w:val="24"/>
        </w:rPr>
      </w:pPr>
      <w:r>
        <w:rPr>
          <w:rFonts w:hint="eastAsia" w:hAnsi="宋体" w:cs="宋体"/>
          <w:bCs/>
          <w:sz w:val="24"/>
          <w:szCs w:val="24"/>
        </w:rPr>
        <w:t>（6）不同投标人的投标保证金从同一单位或者个人的账户转出。</w:t>
      </w:r>
    </w:p>
    <w:p w14:paraId="1DF94BAE">
      <w:pPr>
        <w:pStyle w:val="12"/>
        <w:spacing w:line="360" w:lineRule="auto"/>
        <w:ind w:firstLine="480" w:firstLineChars="200"/>
        <w:rPr>
          <w:rFonts w:hint="eastAsia" w:hAnsi="宋体" w:cs="宋体"/>
          <w:bCs/>
          <w:sz w:val="24"/>
          <w:szCs w:val="24"/>
        </w:rPr>
      </w:pPr>
      <w:r>
        <w:rPr>
          <w:rFonts w:hint="eastAsia" w:hAnsi="宋体" w:cs="宋体"/>
          <w:bCs/>
          <w:sz w:val="24"/>
          <w:szCs w:val="24"/>
        </w:rPr>
        <w:t>6.4.3出现下列情形之一的，按废标处理：</w:t>
      </w:r>
    </w:p>
    <w:p w14:paraId="7FD9133F">
      <w:pPr>
        <w:pStyle w:val="12"/>
        <w:spacing w:line="360" w:lineRule="auto"/>
        <w:ind w:firstLine="480" w:firstLineChars="200"/>
        <w:rPr>
          <w:rFonts w:hint="eastAsia" w:hAnsi="宋体" w:cs="宋体"/>
          <w:bCs/>
          <w:sz w:val="24"/>
          <w:szCs w:val="24"/>
        </w:rPr>
      </w:pPr>
      <w:r>
        <w:rPr>
          <w:rFonts w:hint="eastAsia" w:hAnsi="宋体" w:cs="宋体"/>
          <w:bCs/>
          <w:sz w:val="24"/>
          <w:szCs w:val="24"/>
        </w:rPr>
        <w:t>（1）符合专业条件的投标人或者对招标文件作实质响应的投标人不足三家的；</w:t>
      </w:r>
    </w:p>
    <w:p w14:paraId="45C44B34">
      <w:pPr>
        <w:pStyle w:val="12"/>
        <w:spacing w:line="360" w:lineRule="auto"/>
        <w:ind w:firstLine="480" w:firstLineChars="200"/>
        <w:rPr>
          <w:rFonts w:hint="eastAsia" w:hAnsi="宋体" w:cs="宋体"/>
          <w:bCs/>
          <w:sz w:val="24"/>
          <w:szCs w:val="24"/>
        </w:rPr>
      </w:pPr>
      <w:r>
        <w:rPr>
          <w:rFonts w:hint="eastAsia" w:hAnsi="宋体" w:cs="宋体"/>
          <w:bCs/>
          <w:sz w:val="24"/>
          <w:szCs w:val="24"/>
        </w:rPr>
        <w:t>（2）出现影响采购公正的违法、违规行为的；</w:t>
      </w:r>
    </w:p>
    <w:p w14:paraId="1685D259">
      <w:pPr>
        <w:pStyle w:val="12"/>
        <w:spacing w:line="360" w:lineRule="auto"/>
        <w:ind w:firstLine="480" w:firstLineChars="200"/>
        <w:rPr>
          <w:rFonts w:hint="eastAsia" w:hAnsi="宋体" w:cs="宋体"/>
          <w:bCs/>
          <w:sz w:val="24"/>
          <w:szCs w:val="24"/>
        </w:rPr>
      </w:pPr>
      <w:r>
        <w:rPr>
          <w:rFonts w:hint="eastAsia" w:hAnsi="宋体" w:cs="宋体"/>
          <w:bCs/>
          <w:sz w:val="24"/>
          <w:szCs w:val="24"/>
        </w:rPr>
        <w:t>（3）投标人的报价均超过了采购预算价，采购人不能支付的；</w:t>
      </w:r>
    </w:p>
    <w:p w14:paraId="26E36C9C">
      <w:pPr>
        <w:pStyle w:val="12"/>
        <w:spacing w:line="360" w:lineRule="auto"/>
        <w:ind w:firstLine="480" w:firstLineChars="200"/>
        <w:rPr>
          <w:rFonts w:hint="eastAsia" w:hAnsi="宋体" w:cs="宋体"/>
          <w:bCs/>
          <w:sz w:val="24"/>
          <w:szCs w:val="24"/>
        </w:rPr>
      </w:pPr>
      <w:r>
        <w:rPr>
          <w:rFonts w:hint="eastAsia" w:hAnsi="宋体" w:cs="宋体"/>
          <w:bCs/>
          <w:sz w:val="24"/>
          <w:szCs w:val="24"/>
        </w:rPr>
        <w:t>（4）因重大变故，采购任务取消的。</w:t>
      </w:r>
    </w:p>
    <w:p w14:paraId="7DCA7310">
      <w:pPr>
        <w:pStyle w:val="4"/>
        <w:spacing w:before="156" w:beforeLines="50" w:after="156" w:afterLines="50"/>
        <w:ind w:left="0" w:firstLine="0"/>
        <w:rPr>
          <w:rFonts w:hint="eastAsia" w:ascii="宋体" w:hAnsi="宋体" w:eastAsia="宋体" w:cs="宋体"/>
          <w:szCs w:val="28"/>
        </w:rPr>
      </w:pPr>
      <w:bookmarkStart w:id="94" w:name="_Toc13168"/>
      <w:bookmarkStart w:id="95" w:name="_Toc9387"/>
      <w:bookmarkStart w:id="96" w:name="_Toc12243"/>
      <w:bookmarkStart w:id="97" w:name="_Toc30778"/>
      <w:r>
        <w:rPr>
          <w:rFonts w:hint="eastAsia" w:ascii="宋体" w:hAnsi="宋体" w:eastAsia="宋体" w:cs="宋体"/>
          <w:szCs w:val="28"/>
        </w:rPr>
        <w:t>七、中标和合同</w:t>
      </w:r>
      <w:bookmarkEnd w:id="94"/>
      <w:bookmarkEnd w:id="95"/>
      <w:bookmarkEnd w:id="96"/>
      <w:bookmarkEnd w:id="97"/>
    </w:p>
    <w:p w14:paraId="5AAD1736">
      <w:pPr>
        <w:pStyle w:val="12"/>
        <w:spacing w:line="360" w:lineRule="auto"/>
        <w:rPr>
          <w:rFonts w:hint="eastAsia" w:hAnsi="宋体" w:cs="宋体"/>
          <w:b/>
          <w:sz w:val="24"/>
          <w:szCs w:val="24"/>
        </w:rPr>
      </w:pPr>
      <w:r>
        <w:rPr>
          <w:rFonts w:hint="eastAsia" w:hAnsi="宋体" w:cs="宋体"/>
          <w:b/>
          <w:sz w:val="24"/>
          <w:szCs w:val="24"/>
        </w:rPr>
        <w:t>7.1中标人的确定</w:t>
      </w:r>
    </w:p>
    <w:p w14:paraId="3D6049C2">
      <w:pPr>
        <w:spacing w:line="360" w:lineRule="auto"/>
        <w:ind w:firstLine="480" w:firstLineChars="200"/>
        <w:rPr>
          <w:rFonts w:hint="eastAsia" w:ascii="宋体" w:hAnsi="宋体" w:cs="宋体"/>
          <w:sz w:val="24"/>
        </w:rPr>
      </w:pPr>
      <w:r>
        <w:rPr>
          <w:rFonts w:hint="eastAsia" w:ascii="宋体" w:hAnsi="宋体" w:cs="宋体"/>
          <w:sz w:val="24"/>
        </w:rPr>
        <w:t>7.1.1采购代理机构应当在评标结束后2个工作日内将评标报告送采购人确认。</w:t>
      </w:r>
    </w:p>
    <w:p w14:paraId="31FA7AD5">
      <w:pPr>
        <w:pStyle w:val="21"/>
        <w:widowControl/>
        <w:spacing w:before="0" w:beforeAutospacing="0" w:after="0" w:afterAutospacing="0" w:line="360" w:lineRule="auto"/>
        <w:ind w:firstLine="480" w:firstLineChars="200"/>
        <w:jc w:val="both"/>
        <w:rPr>
          <w:rFonts w:hint="eastAsia" w:ascii="宋体" w:hAnsi="宋体" w:cs="宋体"/>
        </w:rPr>
      </w:pPr>
      <w:r>
        <w:rPr>
          <w:rFonts w:hint="eastAsia" w:ascii="宋体" w:hAnsi="宋体" w:cs="宋体"/>
        </w:rPr>
        <w:t>7.1.2采购人应当自收到评标报告之日起5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714711AC">
      <w:pPr>
        <w:spacing w:line="360" w:lineRule="auto"/>
        <w:rPr>
          <w:rFonts w:hint="eastAsia" w:ascii="宋体" w:hAnsi="宋体" w:cs="宋体"/>
          <w:b/>
          <w:sz w:val="24"/>
        </w:rPr>
      </w:pPr>
      <w:r>
        <w:rPr>
          <w:rFonts w:hint="eastAsia" w:ascii="宋体" w:hAnsi="宋体" w:cs="宋体"/>
          <w:b/>
          <w:sz w:val="24"/>
        </w:rPr>
        <w:t>7.2中标结果公告</w:t>
      </w:r>
    </w:p>
    <w:p w14:paraId="4E7DDA96">
      <w:pPr>
        <w:tabs>
          <w:tab w:val="left" w:pos="7899"/>
        </w:tabs>
        <w:spacing w:line="360" w:lineRule="auto"/>
        <w:ind w:firstLine="480" w:firstLineChars="200"/>
        <w:rPr>
          <w:rFonts w:hint="eastAsia" w:ascii="宋体" w:hAnsi="宋体" w:cs="宋体"/>
          <w:sz w:val="24"/>
        </w:rPr>
      </w:pPr>
      <w:r>
        <w:rPr>
          <w:rFonts w:hint="eastAsia" w:ascii="宋体" w:hAnsi="宋体" w:cs="宋体"/>
          <w:sz w:val="24"/>
        </w:rPr>
        <w:t>7.2.1中标人确定后2个工作日内，在云南省政府采购网、政府采购云平台上发布中标结果，并将招标文件随中标结果同时公告。</w:t>
      </w:r>
    </w:p>
    <w:p w14:paraId="4D3783EF">
      <w:pPr>
        <w:tabs>
          <w:tab w:val="left" w:pos="7899"/>
        </w:tabs>
        <w:spacing w:line="360" w:lineRule="auto"/>
        <w:ind w:firstLine="480" w:firstLineChars="200"/>
        <w:rPr>
          <w:rFonts w:hint="eastAsia" w:ascii="宋体" w:hAnsi="宋体" w:cs="宋体"/>
          <w:sz w:val="24"/>
        </w:rPr>
      </w:pPr>
      <w:r>
        <w:rPr>
          <w:rFonts w:hint="eastAsia" w:ascii="宋体" w:hAnsi="宋体" w:cs="宋体"/>
          <w:sz w:val="24"/>
        </w:rPr>
        <w:t>7.2.2中标结果公告内容包括采购人及其委托的采购代理机构的名称、地址、联系方式，项目名称和项目编号，中标人名称、地址和中标金额，主要中标标的的名称、规格型号、数量、单价、服务要求，中标公告期限以及评审专家名单。</w:t>
      </w:r>
    </w:p>
    <w:p w14:paraId="65CD40B0">
      <w:pPr>
        <w:tabs>
          <w:tab w:val="left" w:pos="7899"/>
        </w:tabs>
        <w:spacing w:line="360" w:lineRule="auto"/>
        <w:ind w:firstLine="480" w:firstLineChars="200"/>
        <w:rPr>
          <w:rFonts w:hint="eastAsia" w:ascii="宋体" w:hAnsi="宋体" w:cs="宋体"/>
          <w:sz w:val="24"/>
        </w:rPr>
      </w:pPr>
      <w:r>
        <w:rPr>
          <w:rFonts w:hint="eastAsia" w:ascii="宋体" w:hAnsi="宋体" w:cs="宋体"/>
          <w:sz w:val="24"/>
        </w:rPr>
        <w:t>7.2.3中标公告期限为1个工作日。</w:t>
      </w:r>
    </w:p>
    <w:p w14:paraId="0E378A1D">
      <w:pPr>
        <w:tabs>
          <w:tab w:val="left" w:pos="7899"/>
        </w:tabs>
        <w:spacing w:line="360" w:lineRule="auto"/>
        <w:ind w:firstLine="480" w:firstLineChars="200"/>
        <w:rPr>
          <w:rFonts w:hint="eastAsia" w:ascii="宋体" w:hAnsi="宋体" w:cs="宋体"/>
          <w:sz w:val="24"/>
        </w:rPr>
      </w:pPr>
      <w:r>
        <w:rPr>
          <w:rFonts w:hint="eastAsia" w:ascii="宋体" w:hAnsi="宋体" w:cs="宋体"/>
          <w:sz w:val="24"/>
        </w:rPr>
        <w:t>7.2.4在公告中标结果的同时，采购人或者采购代理机构应当向中标人发出中标通知书；对未通过资格审查的投标人，应当告知其未通过的原因；采用综合评分法评审的，还应当告知未中标人本人的评审得分与排序。</w:t>
      </w:r>
    </w:p>
    <w:p w14:paraId="03BA3CC7">
      <w:pPr>
        <w:pStyle w:val="12"/>
        <w:spacing w:line="360" w:lineRule="auto"/>
        <w:rPr>
          <w:rFonts w:hint="eastAsia" w:hAnsi="宋体" w:cs="宋体"/>
          <w:b/>
          <w:bCs/>
          <w:sz w:val="24"/>
          <w:szCs w:val="24"/>
        </w:rPr>
      </w:pPr>
      <w:r>
        <w:rPr>
          <w:rFonts w:hint="eastAsia" w:hAnsi="宋体" w:cs="宋体"/>
          <w:b/>
          <w:bCs/>
          <w:sz w:val="24"/>
          <w:szCs w:val="24"/>
        </w:rPr>
        <w:t>7.3中标通知书</w:t>
      </w:r>
    </w:p>
    <w:p w14:paraId="1ABA4149">
      <w:pPr>
        <w:pStyle w:val="12"/>
        <w:spacing w:line="360" w:lineRule="auto"/>
        <w:ind w:firstLine="480" w:firstLineChars="200"/>
        <w:rPr>
          <w:rFonts w:hint="eastAsia" w:hAnsi="宋体" w:cs="宋体"/>
          <w:sz w:val="24"/>
          <w:szCs w:val="24"/>
        </w:rPr>
      </w:pPr>
      <w:r>
        <w:rPr>
          <w:rFonts w:hint="eastAsia" w:hAnsi="宋体" w:cs="宋体"/>
          <w:sz w:val="24"/>
          <w:szCs w:val="24"/>
        </w:rPr>
        <w:t>7.3.1公告中标结果的同时向中标人发出中标通知书。</w:t>
      </w:r>
    </w:p>
    <w:p w14:paraId="766760B0">
      <w:pPr>
        <w:pStyle w:val="12"/>
        <w:spacing w:line="360" w:lineRule="auto"/>
        <w:ind w:firstLine="480" w:firstLineChars="200"/>
        <w:rPr>
          <w:rFonts w:hint="eastAsia" w:hAnsi="宋体" w:cs="宋体"/>
          <w:sz w:val="24"/>
          <w:szCs w:val="24"/>
        </w:rPr>
      </w:pPr>
      <w:r>
        <w:rPr>
          <w:rFonts w:hint="eastAsia" w:hAnsi="宋体" w:cs="宋体"/>
          <w:sz w:val="24"/>
          <w:szCs w:val="24"/>
        </w:rPr>
        <w:t>7.3.2中标通知书是合同的一个组成部分。</w:t>
      </w:r>
    </w:p>
    <w:p w14:paraId="76F5319A">
      <w:pPr>
        <w:pStyle w:val="12"/>
        <w:spacing w:line="360" w:lineRule="auto"/>
        <w:ind w:firstLine="480" w:firstLineChars="200"/>
        <w:rPr>
          <w:rFonts w:hint="eastAsia" w:hAnsi="宋体" w:cs="宋体"/>
          <w:sz w:val="24"/>
          <w:szCs w:val="24"/>
        </w:rPr>
      </w:pPr>
      <w:r>
        <w:rPr>
          <w:rFonts w:hint="eastAsia" w:hAnsi="宋体" w:cs="宋体"/>
          <w:sz w:val="24"/>
          <w:szCs w:val="24"/>
        </w:rPr>
        <w:t>7.3.3采购代理机构无义务向未中标投标人解释未中标的原因和退回投标文件。</w:t>
      </w:r>
    </w:p>
    <w:p w14:paraId="377CCFEA">
      <w:pPr>
        <w:pStyle w:val="12"/>
        <w:spacing w:line="360" w:lineRule="auto"/>
        <w:rPr>
          <w:rFonts w:hint="eastAsia" w:hAnsi="宋体" w:cs="宋体"/>
          <w:b/>
          <w:bCs/>
          <w:sz w:val="24"/>
          <w:szCs w:val="24"/>
        </w:rPr>
      </w:pPr>
      <w:r>
        <w:rPr>
          <w:rFonts w:hint="eastAsia" w:hAnsi="宋体" w:cs="宋体"/>
          <w:b/>
          <w:bCs/>
          <w:sz w:val="24"/>
          <w:szCs w:val="24"/>
        </w:rPr>
        <w:t>7.4签订合同</w:t>
      </w:r>
    </w:p>
    <w:p w14:paraId="4A411E4C">
      <w:pPr>
        <w:pStyle w:val="12"/>
        <w:spacing w:line="360" w:lineRule="auto"/>
        <w:ind w:firstLine="480" w:firstLineChars="200"/>
        <w:rPr>
          <w:rFonts w:hint="eastAsia" w:hAnsi="宋体" w:cs="宋体"/>
          <w:sz w:val="24"/>
          <w:szCs w:val="24"/>
        </w:rPr>
      </w:pPr>
      <w:r>
        <w:rPr>
          <w:rFonts w:hint="eastAsia" w:hAnsi="宋体" w:cs="宋体"/>
          <w:sz w:val="24"/>
          <w:szCs w:val="24"/>
        </w:rPr>
        <w:t>7.4.1采购人应当自中标通知书发出之日起30日内，按照招标文件和中标人投标文件的规定，与中标人签订书面合同。所签订的合同不得对招标文件确定的事项和中标人投标文件作实质性修改。</w:t>
      </w:r>
    </w:p>
    <w:p w14:paraId="3F341EBA">
      <w:pPr>
        <w:pStyle w:val="12"/>
        <w:spacing w:line="360" w:lineRule="auto"/>
        <w:ind w:firstLine="480" w:firstLineChars="200"/>
        <w:rPr>
          <w:rFonts w:hint="eastAsia" w:hAnsi="宋体" w:cs="宋体"/>
          <w:sz w:val="24"/>
          <w:szCs w:val="24"/>
        </w:rPr>
      </w:pPr>
      <w:r>
        <w:rPr>
          <w:rFonts w:hint="eastAsia" w:hAnsi="宋体" w:cs="宋体"/>
          <w:sz w:val="24"/>
          <w:szCs w:val="24"/>
        </w:rPr>
        <w:t>7.4.2采购人不得向中标人提出任何不合理的要求作为签订合同的条件。</w:t>
      </w:r>
    </w:p>
    <w:p w14:paraId="4D8BAC99">
      <w:pPr>
        <w:pStyle w:val="12"/>
        <w:spacing w:line="360" w:lineRule="auto"/>
        <w:ind w:firstLine="480" w:firstLineChars="200"/>
        <w:rPr>
          <w:rFonts w:hint="eastAsia" w:hAnsi="宋体" w:cs="宋体"/>
          <w:sz w:val="24"/>
          <w:szCs w:val="24"/>
        </w:rPr>
      </w:pPr>
      <w:r>
        <w:rPr>
          <w:rFonts w:hint="eastAsia" w:hAnsi="宋体" w:cs="宋体"/>
          <w:sz w:val="24"/>
          <w:szCs w:val="24"/>
        </w:rPr>
        <w:t>7.4.3政府采购合同履行中，采购人需追加与合同标的相同的货物或者服务的，在不改变合同其他条款的前提下，可以与供应商协商签订补充合同，但所有补充合同的采购金额不得超过原合同采购金额的百分之十。</w:t>
      </w:r>
    </w:p>
    <w:p w14:paraId="02693A0F">
      <w:pPr>
        <w:pStyle w:val="12"/>
        <w:spacing w:line="360" w:lineRule="auto"/>
        <w:ind w:firstLine="480" w:firstLineChars="200"/>
        <w:rPr>
          <w:rFonts w:hint="eastAsia" w:hAnsi="宋体" w:cs="宋体"/>
          <w:sz w:val="24"/>
          <w:szCs w:val="24"/>
        </w:rPr>
      </w:pPr>
      <w:r>
        <w:rPr>
          <w:rFonts w:hint="eastAsia" w:hAnsi="宋体" w:cs="宋体"/>
          <w:sz w:val="24"/>
          <w:szCs w:val="24"/>
        </w:rPr>
        <w:t>7.4.4特殊情形处理</w:t>
      </w:r>
    </w:p>
    <w:p w14:paraId="19E50813">
      <w:pPr>
        <w:pStyle w:val="12"/>
        <w:spacing w:line="360" w:lineRule="auto"/>
        <w:ind w:firstLine="480" w:firstLineChars="200"/>
        <w:rPr>
          <w:rFonts w:hint="eastAsia" w:hAnsi="宋体" w:cs="宋体"/>
          <w:sz w:val="24"/>
          <w:szCs w:val="24"/>
        </w:rPr>
      </w:pPr>
      <w:r>
        <w:rPr>
          <w:rFonts w:hint="eastAsia" w:hAnsi="宋体" w:cs="宋体"/>
          <w:sz w:val="24"/>
          <w:szCs w:val="24"/>
        </w:rPr>
        <w:t>中标或者成交供应商拒绝与采购人签订合同的,采购人可以按照评审报告推荐的中标或者成交候选人名单排序,确定下一候选人为中标或者成交供应商,也可以重新开展政府采购活动。</w:t>
      </w:r>
    </w:p>
    <w:p w14:paraId="02738458">
      <w:pPr>
        <w:pStyle w:val="4"/>
        <w:spacing w:before="156" w:beforeLines="50" w:after="156" w:afterLines="50"/>
        <w:ind w:left="0" w:firstLine="0"/>
        <w:rPr>
          <w:rFonts w:hint="eastAsia" w:ascii="宋体" w:hAnsi="宋体" w:eastAsia="宋体" w:cs="宋体"/>
          <w:szCs w:val="28"/>
        </w:rPr>
      </w:pPr>
      <w:bookmarkStart w:id="98" w:name="_Toc7685"/>
      <w:bookmarkStart w:id="99" w:name="_Toc8121"/>
      <w:bookmarkStart w:id="100" w:name="_Toc4755"/>
      <w:bookmarkStart w:id="101" w:name="_Toc5571"/>
      <w:r>
        <w:rPr>
          <w:rFonts w:hint="eastAsia" w:ascii="宋体" w:hAnsi="宋体" w:eastAsia="宋体" w:cs="宋体"/>
          <w:szCs w:val="28"/>
        </w:rPr>
        <w:t>八、其他事项</w:t>
      </w:r>
      <w:bookmarkEnd w:id="98"/>
      <w:bookmarkEnd w:id="99"/>
      <w:bookmarkEnd w:id="100"/>
      <w:bookmarkEnd w:id="101"/>
    </w:p>
    <w:p w14:paraId="24A8DA5E">
      <w:pPr>
        <w:pStyle w:val="12"/>
        <w:spacing w:line="360" w:lineRule="auto"/>
        <w:rPr>
          <w:rFonts w:hint="eastAsia" w:hAnsi="宋体" w:cs="宋体"/>
          <w:b/>
          <w:bCs/>
          <w:sz w:val="24"/>
          <w:szCs w:val="24"/>
        </w:rPr>
      </w:pPr>
      <w:r>
        <w:rPr>
          <w:rFonts w:hint="eastAsia" w:hAnsi="宋体" w:cs="宋体"/>
          <w:b/>
          <w:bCs/>
          <w:sz w:val="24"/>
          <w:szCs w:val="24"/>
        </w:rPr>
        <w:t>8.1询问、质疑、投诉</w:t>
      </w:r>
    </w:p>
    <w:p w14:paraId="7CCE1D0B">
      <w:pPr>
        <w:pStyle w:val="12"/>
        <w:spacing w:line="360" w:lineRule="auto"/>
        <w:ind w:firstLine="480" w:firstLineChars="200"/>
        <w:rPr>
          <w:rFonts w:hint="eastAsia" w:hAnsi="宋体" w:cs="宋体"/>
          <w:sz w:val="24"/>
          <w:szCs w:val="24"/>
        </w:rPr>
      </w:pPr>
      <w:r>
        <w:rPr>
          <w:rFonts w:hint="eastAsia" w:hAnsi="宋体" w:cs="宋体"/>
          <w:sz w:val="24"/>
          <w:szCs w:val="24"/>
        </w:rPr>
        <w:t>8.1.1询问</w:t>
      </w:r>
    </w:p>
    <w:p w14:paraId="0A3D1820">
      <w:pPr>
        <w:pStyle w:val="12"/>
        <w:spacing w:line="360" w:lineRule="auto"/>
        <w:ind w:firstLine="480" w:firstLineChars="200"/>
        <w:rPr>
          <w:rFonts w:hint="eastAsia" w:hAnsi="宋体" w:cs="宋体"/>
          <w:sz w:val="24"/>
          <w:szCs w:val="24"/>
        </w:rPr>
      </w:pPr>
      <w:r>
        <w:rPr>
          <w:rFonts w:hint="eastAsia" w:hAnsi="宋体" w:cs="宋体"/>
          <w:sz w:val="24"/>
          <w:szCs w:val="24"/>
        </w:rPr>
        <w:t>（1）投标人对政府采购活动事项有疑问的，可以向采购人或者采购代理机构提出询问，询问可以口头方式提出或者书面形式提出。</w:t>
      </w:r>
    </w:p>
    <w:p w14:paraId="64D3311B">
      <w:pPr>
        <w:pStyle w:val="12"/>
        <w:spacing w:line="360" w:lineRule="auto"/>
        <w:ind w:firstLine="480" w:firstLineChars="200"/>
        <w:rPr>
          <w:rFonts w:hint="eastAsia" w:hAnsi="宋体" w:cs="宋体"/>
          <w:sz w:val="24"/>
          <w:szCs w:val="24"/>
        </w:rPr>
      </w:pPr>
      <w:r>
        <w:rPr>
          <w:rFonts w:hint="eastAsia" w:hAnsi="宋体" w:cs="宋体"/>
          <w:sz w:val="24"/>
          <w:szCs w:val="24"/>
        </w:rPr>
        <w:t>（2）如采用书面形式提出询问，投标人为自然人的，询问函应当由本人签字；投标人为法人或者其他组织的，应当由法定代表人、主要负责人或授权代表签字或者盖章，并加盖投标人公章。询问投标人若委托代理人提出询问的，询问函应按要求列明“授权代表”的有关内容，并提交由投标人签署的授权委托书及代理人身份证复印件，并加盖投标人公章。授权委托书应载明代理人的姓名或者名称、代理事项、具体权限、期限和相关事项。</w:t>
      </w:r>
    </w:p>
    <w:p w14:paraId="150FBC77">
      <w:pPr>
        <w:pStyle w:val="12"/>
        <w:spacing w:line="360" w:lineRule="auto"/>
        <w:ind w:firstLine="480" w:firstLineChars="200"/>
        <w:rPr>
          <w:rFonts w:hint="eastAsia" w:hAnsi="宋体" w:cs="宋体"/>
          <w:sz w:val="24"/>
          <w:szCs w:val="24"/>
        </w:rPr>
      </w:pPr>
      <w:r>
        <w:rPr>
          <w:rFonts w:hint="eastAsia" w:hAnsi="宋体" w:cs="宋体"/>
          <w:sz w:val="24"/>
          <w:szCs w:val="24"/>
        </w:rPr>
        <w:t>（3）采购人或者采购代理机构在三个工作日内对投标人依法提出的询问作出答复。</w:t>
      </w:r>
    </w:p>
    <w:p w14:paraId="17BDEB0A">
      <w:pPr>
        <w:pStyle w:val="12"/>
        <w:spacing w:line="360" w:lineRule="auto"/>
        <w:ind w:firstLine="480" w:firstLineChars="200"/>
        <w:rPr>
          <w:rFonts w:hint="eastAsia" w:hAnsi="宋体" w:cs="宋体"/>
          <w:sz w:val="24"/>
          <w:szCs w:val="24"/>
        </w:rPr>
      </w:pPr>
      <w:r>
        <w:rPr>
          <w:rFonts w:hint="eastAsia" w:hAnsi="宋体" w:cs="宋体"/>
          <w:sz w:val="24"/>
          <w:szCs w:val="24"/>
        </w:rPr>
        <w:t>8.1.2质疑</w:t>
      </w:r>
    </w:p>
    <w:p w14:paraId="6BEE8EE2">
      <w:pPr>
        <w:pStyle w:val="12"/>
        <w:spacing w:line="360" w:lineRule="auto"/>
        <w:ind w:firstLine="480" w:firstLineChars="200"/>
        <w:rPr>
          <w:rFonts w:hint="eastAsia" w:hAnsi="宋体" w:cs="宋体"/>
          <w:sz w:val="24"/>
          <w:szCs w:val="24"/>
        </w:rPr>
      </w:pPr>
      <w:r>
        <w:rPr>
          <w:rFonts w:hint="eastAsia" w:hAnsi="宋体" w:cs="宋体"/>
          <w:sz w:val="24"/>
          <w:szCs w:val="24"/>
        </w:rPr>
        <w:t>8.1.2.1提出质疑</w:t>
      </w:r>
    </w:p>
    <w:p w14:paraId="39EC7368">
      <w:pPr>
        <w:spacing w:line="360" w:lineRule="auto"/>
        <w:ind w:firstLine="480" w:firstLineChars="200"/>
        <w:jc w:val="left"/>
        <w:rPr>
          <w:rFonts w:hint="eastAsia" w:ascii="宋体" w:hAnsi="宋体" w:cs="宋体"/>
          <w:sz w:val="24"/>
        </w:rPr>
      </w:pPr>
      <w:r>
        <w:rPr>
          <w:rFonts w:hint="eastAsia" w:ascii="宋体" w:hAnsi="宋体" w:cs="宋体"/>
          <w:sz w:val="24"/>
        </w:rPr>
        <w:t>（1）投标人认为招标文件、评标过程和中标结果使自己的合法权益受到损害的，可以在知道或者应知其权益受到损害之日起七个工作日内，以书面形式（指加盖投标人公章的文本）向采购人或采购代理机构提出质疑，逾期对招标文件提出质疑将不再受理。提出质疑的投标人应当是参与所质疑项目采购活动的投标人，投标人针对同一采购程序环节的质疑应当在法定质疑期内一次性提出，提出质疑时应当有明确的请求和必要的证明材料。</w:t>
      </w:r>
    </w:p>
    <w:p w14:paraId="3F1427A3">
      <w:pPr>
        <w:spacing w:line="360" w:lineRule="auto"/>
        <w:ind w:firstLine="482" w:firstLineChars="200"/>
        <w:rPr>
          <w:rFonts w:hint="eastAsia" w:ascii="宋体" w:hAnsi="宋体" w:cs="宋体"/>
          <w:b/>
          <w:bCs/>
          <w:sz w:val="24"/>
        </w:rPr>
      </w:pPr>
      <w:r>
        <w:rPr>
          <w:rFonts w:hint="eastAsia" w:ascii="宋体" w:hAnsi="宋体" w:cs="宋体"/>
          <w:b/>
          <w:bCs/>
          <w:sz w:val="24"/>
        </w:rPr>
        <w:t>注：质疑期限：</w:t>
      </w:r>
    </w:p>
    <w:p w14:paraId="03415D4E">
      <w:pPr>
        <w:spacing w:line="360" w:lineRule="auto"/>
        <w:ind w:firstLine="480" w:firstLineChars="200"/>
        <w:rPr>
          <w:rFonts w:hint="eastAsia" w:ascii="宋体" w:hAnsi="宋体" w:cs="宋体"/>
          <w:sz w:val="24"/>
        </w:rPr>
      </w:pPr>
      <w:r>
        <w:rPr>
          <w:rFonts w:hint="eastAsia" w:ascii="宋体" w:hAnsi="宋体" w:cs="宋体"/>
          <w:sz w:val="24"/>
        </w:rPr>
        <w:t>①投标人认为招标文件的内容损害其权益的，应当在获取招标文件之日或者招标文件公告期届满之日起七个工作日内。（注：投标人获取招标文件之日早于招标文件公告期限届满之日的，则以投标人获取招标文件之日为质疑时效期间的起算日期；否则，以招标文件公告期限届满之日为质疑时效期间的起算日期）</w:t>
      </w:r>
    </w:p>
    <w:p w14:paraId="7DA51894">
      <w:pPr>
        <w:spacing w:line="360" w:lineRule="auto"/>
        <w:ind w:firstLine="480" w:firstLineChars="200"/>
        <w:rPr>
          <w:rFonts w:hint="eastAsia" w:ascii="宋体" w:hAnsi="宋体" w:cs="宋体"/>
          <w:sz w:val="24"/>
        </w:rPr>
      </w:pPr>
      <w:r>
        <w:rPr>
          <w:rFonts w:hint="eastAsia" w:ascii="宋体" w:hAnsi="宋体" w:cs="宋体"/>
          <w:sz w:val="24"/>
        </w:rPr>
        <w:t>②投标人认为采购过程损害其权益的，应在各采购程序环节结束之日起七个工作日内。</w:t>
      </w:r>
    </w:p>
    <w:p w14:paraId="41ACDC28">
      <w:pPr>
        <w:spacing w:line="360" w:lineRule="auto"/>
        <w:ind w:firstLine="480" w:firstLineChars="200"/>
        <w:rPr>
          <w:rFonts w:hint="eastAsia" w:ascii="宋体" w:hAnsi="宋体" w:cs="宋体"/>
          <w:sz w:val="24"/>
        </w:rPr>
      </w:pPr>
      <w:r>
        <w:rPr>
          <w:rFonts w:hint="eastAsia" w:ascii="宋体" w:hAnsi="宋体" w:cs="宋体"/>
          <w:sz w:val="24"/>
        </w:rPr>
        <w:t>③投标人认为中标结果损害其权益的，应在中标结果公告期限届满之日起七个工作日内。</w:t>
      </w:r>
    </w:p>
    <w:p w14:paraId="1F86B4CA">
      <w:pPr>
        <w:spacing w:line="360" w:lineRule="auto"/>
        <w:ind w:firstLine="480" w:firstLineChars="200"/>
        <w:rPr>
          <w:rFonts w:hint="eastAsia" w:ascii="宋体" w:hAnsi="宋体" w:cs="宋体"/>
          <w:sz w:val="24"/>
        </w:rPr>
      </w:pPr>
      <w:r>
        <w:rPr>
          <w:rFonts w:hint="eastAsia" w:ascii="宋体" w:hAnsi="宋体" w:cs="宋体"/>
          <w:sz w:val="24"/>
        </w:rPr>
        <w:t>（2）投标人可以委托代理人进行质疑。其授权委托书应当载明代理人的姓名或者名称、代理事项、具体权限、期限和相关事项。投标人为自然人的，应当由本人签字；投标人为法人或者其他组织的，应当由法定代表人、主要负责人签字或者盖章，并加盖公章。代理人提出质疑，应当提交投标人签署的授权委托书。</w:t>
      </w:r>
    </w:p>
    <w:p w14:paraId="0DD25D16">
      <w:pPr>
        <w:spacing w:line="360" w:lineRule="auto"/>
        <w:ind w:firstLine="480" w:firstLineChars="200"/>
        <w:rPr>
          <w:rFonts w:hint="eastAsia" w:ascii="宋体" w:hAnsi="宋体" w:cs="宋体"/>
          <w:sz w:val="24"/>
        </w:rPr>
      </w:pPr>
      <w:r>
        <w:rPr>
          <w:rFonts w:hint="eastAsia" w:ascii="宋体" w:hAnsi="宋体" w:cs="宋体"/>
          <w:sz w:val="24"/>
        </w:rPr>
        <w:t>（3）投标人提出质疑应当提交质疑函和必要的证明材料（如材料中有外文资料应同时附上中文译本）。质疑函应当包括下列内容：</w:t>
      </w:r>
    </w:p>
    <w:p w14:paraId="5A49D534">
      <w:pPr>
        <w:spacing w:line="360" w:lineRule="auto"/>
        <w:ind w:firstLine="480" w:firstLineChars="200"/>
        <w:rPr>
          <w:rFonts w:hint="eastAsia" w:ascii="宋体" w:hAnsi="宋体" w:cs="宋体"/>
          <w:sz w:val="24"/>
        </w:rPr>
      </w:pPr>
      <w:r>
        <w:rPr>
          <w:rFonts w:hint="eastAsia" w:ascii="宋体" w:hAnsi="宋体" w:cs="宋体"/>
          <w:sz w:val="24"/>
        </w:rPr>
        <w:t xml:space="preserve"> ①投标人的姓名或者名称、地址、邮编、联系人及联系电话；</w:t>
      </w:r>
    </w:p>
    <w:p w14:paraId="5D851F47">
      <w:pPr>
        <w:spacing w:line="360" w:lineRule="auto"/>
        <w:ind w:firstLine="480" w:firstLineChars="200"/>
        <w:rPr>
          <w:rFonts w:hint="eastAsia" w:ascii="宋体" w:hAnsi="宋体" w:cs="宋体"/>
          <w:sz w:val="24"/>
        </w:rPr>
      </w:pPr>
      <w:r>
        <w:rPr>
          <w:rFonts w:hint="eastAsia" w:ascii="宋体" w:hAnsi="宋体" w:cs="宋体"/>
          <w:sz w:val="24"/>
        </w:rPr>
        <w:t xml:space="preserve"> ②质疑项目的名称、编号；</w:t>
      </w:r>
    </w:p>
    <w:p w14:paraId="570DDC81">
      <w:pPr>
        <w:spacing w:line="360" w:lineRule="auto"/>
        <w:ind w:firstLine="480" w:firstLineChars="200"/>
        <w:rPr>
          <w:rFonts w:hint="eastAsia" w:ascii="宋体" w:hAnsi="宋体" w:cs="宋体"/>
          <w:sz w:val="24"/>
        </w:rPr>
      </w:pPr>
      <w:r>
        <w:rPr>
          <w:rFonts w:hint="eastAsia" w:ascii="宋体" w:hAnsi="宋体" w:cs="宋体"/>
          <w:sz w:val="24"/>
        </w:rPr>
        <w:t xml:space="preserve"> ③具体、明确的质疑事项和与质疑事项相关的请求；</w:t>
      </w:r>
    </w:p>
    <w:p w14:paraId="49D1286A">
      <w:pPr>
        <w:spacing w:line="360" w:lineRule="auto"/>
        <w:ind w:firstLine="480" w:firstLineChars="200"/>
        <w:rPr>
          <w:rFonts w:hint="eastAsia" w:ascii="宋体" w:hAnsi="宋体" w:cs="宋体"/>
          <w:sz w:val="24"/>
        </w:rPr>
      </w:pPr>
      <w:r>
        <w:rPr>
          <w:rFonts w:hint="eastAsia" w:ascii="宋体" w:hAnsi="宋体" w:cs="宋体"/>
          <w:sz w:val="24"/>
        </w:rPr>
        <w:t xml:space="preserve"> ④事实依据；</w:t>
      </w:r>
    </w:p>
    <w:p w14:paraId="78084565">
      <w:pPr>
        <w:spacing w:line="360" w:lineRule="auto"/>
        <w:ind w:firstLine="480" w:firstLineChars="200"/>
        <w:rPr>
          <w:rFonts w:hint="eastAsia" w:ascii="宋体" w:hAnsi="宋体" w:cs="宋体"/>
          <w:sz w:val="24"/>
        </w:rPr>
      </w:pPr>
      <w:r>
        <w:rPr>
          <w:rFonts w:hint="eastAsia" w:ascii="宋体" w:hAnsi="宋体" w:cs="宋体"/>
          <w:sz w:val="24"/>
        </w:rPr>
        <w:t xml:space="preserve"> ⑤必要的法律依据；</w:t>
      </w:r>
    </w:p>
    <w:p w14:paraId="705B1A31">
      <w:pPr>
        <w:spacing w:line="360" w:lineRule="auto"/>
        <w:ind w:firstLine="480" w:firstLineChars="200"/>
        <w:rPr>
          <w:rFonts w:hint="eastAsia" w:ascii="宋体" w:hAnsi="宋体" w:cs="宋体"/>
          <w:sz w:val="24"/>
        </w:rPr>
      </w:pPr>
      <w:r>
        <w:rPr>
          <w:rFonts w:hint="eastAsia" w:ascii="宋体" w:hAnsi="宋体" w:cs="宋体"/>
          <w:sz w:val="24"/>
        </w:rPr>
        <w:t xml:space="preserve"> ⑥提出质疑的日期。</w:t>
      </w:r>
    </w:p>
    <w:p w14:paraId="7208B638">
      <w:pPr>
        <w:spacing w:line="360" w:lineRule="auto"/>
        <w:ind w:firstLine="480" w:firstLineChars="200"/>
        <w:rPr>
          <w:rFonts w:hint="eastAsia" w:ascii="宋体" w:hAnsi="宋体" w:cs="宋体"/>
          <w:sz w:val="24"/>
        </w:rPr>
      </w:pPr>
      <w:r>
        <w:rPr>
          <w:rFonts w:hint="eastAsia" w:ascii="宋体" w:hAnsi="宋体" w:cs="宋体"/>
          <w:sz w:val="24"/>
        </w:rPr>
        <w:t>质疑书实行实名制，投标人为自然人的，应当由本人签字；投标人为法人或者其他组织的，应当由法定代表人、主要负责人 ，或者其授权代表签字或者盖章。</w:t>
      </w:r>
    </w:p>
    <w:p w14:paraId="53437C40">
      <w:pPr>
        <w:spacing w:line="360" w:lineRule="auto"/>
        <w:ind w:firstLine="480" w:firstLineChars="200"/>
        <w:rPr>
          <w:rFonts w:hint="eastAsia" w:ascii="宋体" w:hAnsi="宋体" w:cs="宋体"/>
          <w:sz w:val="24"/>
        </w:rPr>
      </w:pPr>
      <w:r>
        <w:rPr>
          <w:rFonts w:hint="eastAsia" w:ascii="宋体" w:hAnsi="宋体" w:cs="宋体"/>
          <w:sz w:val="24"/>
        </w:rPr>
        <w:t>注：《政府采购投标人质疑函范本》详见中国政府采购网（</w:t>
      </w:r>
      <w:r>
        <w:fldChar w:fldCharType="begin"/>
      </w:r>
      <w:r>
        <w:instrText xml:space="preserve"> HYPERLINK "http://www.ccgp.gov.cn/" </w:instrText>
      </w:r>
      <w:r>
        <w:fldChar w:fldCharType="separate"/>
      </w:r>
      <w:r>
        <w:rPr>
          <w:rFonts w:hint="eastAsia" w:ascii="宋体" w:hAnsi="宋体" w:cs="宋体"/>
          <w:sz w:val="24"/>
        </w:rPr>
        <w:t>http://www.ccgp.gov.cn/</w:t>
      </w:r>
      <w:r>
        <w:rPr>
          <w:rFonts w:hint="eastAsia" w:ascii="宋体" w:hAnsi="宋体" w:cs="宋体"/>
          <w:sz w:val="24"/>
        </w:rPr>
        <w:fldChar w:fldCharType="end"/>
      </w:r>
      <w:r>
        <w:rPr>
          <w:rFonts w:hint="eastAsia" w:ascii="宋体" w:hAnsi="宋体" w:cs="宋体"/>
          <w:sz w:val="24"/>
        </w:rPr>
        <w:t>）</w:t>
      </w:r>
    </w:p>
    <w:p w14:paraId="5F029178">
      <w:pPr>
        <w:spacing w:line="360" w:lineRule="auto"/>
        <w:ind w:firstLine="480" w:firstLineChars="200"/>
        <w:rPr>
          <w:rFonts w:hint="eastAsia" w:ascii="宋体" w:hAnsi="宋体" w:cs="宋体"/>
          <w:sz w:val="24"/>
        </w:rPr>
      </w:pPr>
      <w:r>
        <w:rPr>
          <w:rFonts w:hint="eastAsia" w:ascii="宋体" w:hAnsi="宋体" w:cs="宋体"/>
          <w:sz w:val="24"/>
        </w:rPr>
        <w:t>投标人提出质疑时，被质疑人应配合质疑处理部门的调查、处理工作，根据需要对举证材料须给予书面澄清回复和接受质询，其投标文件可公开的内容须接受任何形式的审查核实。</w:t>
      </w:r>
    </w:p>
    <w:p w14:paraId="009389DB">
      <w:pPr>
        <w:pStyle w:val="12"/>
        <w:spacing w:line="360" w:lineRule="auto"/>
        <w:ind w:firstLine="480" w:firstLineChars="200"/>
        <w:rPr>
          <w:rFonts w:hint="eastAsia" w:hAnsi="宋体" w:cs="宋体"/>
          <w:sz w:val="24"/>
          <w:szCs w:val="24"/>
        </w:rPr>
      </w:pPr>
      <w:r>
        <w:rPr>
          <w:rFonts w:hint="eastAsia" w:hAnsi="宋体" w:cs="宋体"/>
          <w:sz w:val="24"/>
        </w:rPr>
        <w:t>（4）</w:t>
      </w:r>
      <w:r>
        <w:rPr>
          <w:rFonts w:hint="eastAsia" w:hAnsi="宋体" w:cs="宋体"/>
          <w:sz w:val="24"/>
          <w:szCs w:val="24"/>
        </w:rPr>
        <w:t>以联合体形式参加政府采购活动的，其质疑应当由组成联合体的所有投标人共同提出。</w:t>
      </w:r>
    </w:p>
    <w:p w14:paraId="371C4132">
      <w:pPr>
        <w:pStyle w:val="12"/>
        <w:spacing w:line="360" w:lineRule="auto"/>
        <w:ind w:firstLine="480" w:firstLineChars="200"/>
        <w:rPr>
          <w:rFonts w:hint="eastAsia" w:hAnsi="宋体" w:cs="宋体"/>
          <w:sz w:val="24"/>
          <w:szCs w:val="24"/>
        </w:rPr>
      </w:pPr>
      <w:r>
        <w:rPr>
          <w:rFonts w:hint="eastAsia" w:hAnsi="宋体" w:cs="宋体"/>
          <w:sz w:val="24"/>
        </w:rPr>
        <w:t>（5）</w:t>
      </w:r>
      <w:r>
        <w:rPr>
          <w:rFonts w:hint="eastAsia" w:hAnsi="宋体" w:cs="宋体"/>
          <w:sz w:val="24"/>
          <w:szCs w:val="24"/>
        </w:rPr>
        <w:t>投标人捏造事实、提供虚假材料或者以非法手段取得证明材料不能作为质疑的证明材料。</w:t>
      </w:r>
    </w:p>
    <w:p w14:paraId="51FDDC34">
      <w:pPr>
        <w:pStyle w:val="12"/>
        <w:spacing w:line="360" w:lineRule="auto"/>
        <w:ind w:firstLine="480" w:firstLineChars="200"/>
        <w:rPr>
          <w:rFonts w:hint="eastAsia" w:hAnsi="宋体" w:cs="宋体"/>
          <w:sz w:val="24"/>
          <w:szCs w:val="24"/>
        </w:rPr>
      </w:pPr>
      <w:r>
        <w:rPr>
          <w:rFonts w:hint="eastAsia" w:hAnsi="宋体" w:cs="宋体"/>
          <w:sz w:val="24"/>
        </w:rPr>
        <w:t>（6）</w:t>
      </w:r>
      <w:r>
        <w:rPr>
          <w:rFonts w:hint="eastAsia" w:hAnsi="宋体" w:cs="宋体"/>
          <w:sz w:val="24"/>
          <w:szCs w:val="24"/>
        </w:rPr>
        <w:t>采购人或者采购代理机构在收到质疑函后7个工作日内作出答复，并以书面形式通知质疑投标人和其他有关投标人，但答复内容不涉及商业秘密。</w:t>
      </w:r>
    </w:p>
    <w:p w14:paraId="12F58F4F">
      <w:pPr>
        <w:pStyle w:val="12"/>
        <w:spacing w:line="360" w:lineRule="auto"/>
        <w:ind w:firstLine="480" w:firstLineChars="200"/>
        <w:rPr>
          <w:rFonts w:hint="eastAsia" w:hAnsi="宋体" w:cs="宋体"/>
          <w:sz w:val="24"/>
          <w:szCs w:val="24"/>
        </w:rPr>
      </w:pPr>
      <w:r>
        <w:rPr>
          <w:rFonts w:hint="eastAsia" w:hAnsi="宋体" w:cs="宋体"/>
          <w:sz w:val="24"/>
        </w:rPr>
        <w:t>（7）</w:t>
      </w:r>
      <w:r>
        <w:rPr>
          <w:rFonts w:hint="eastAsia" w:hAnsi="宋体" w:cs="宋体"/>
          <w:sz w:val="24"/>
          <w:szCs w:val="24"/>
        </w:rPr>
        <w:t>询问、质疑的期间开始之日，不计算在期间内。期间届满的最后一日是节假日的，以节假日后的第一日为期间届满的日期。</w:t>
      </w:r>
    </w:p>
    <w:p w14:paraId="71878A0F">
      <w:pPr>
        <w:pStyle w:val="12"/>
        <w:spacing w:line="360" w:lineRule="auto"/>
        <w:ind w:firstLine="480" w:firstLineChars="200"/>
        <w:rPr>
          <w:rFonts w:hint="eastAsia" w:hAnsi="宋体" w:cs="宋体"/>
          <w:sz w:val="24"/>
          <w:szCs w:val="24"/>
        </w:rPr>
      </w:pPr>
      <w:r>
        <w:rPr>
          <w:rFonts w:hint="eastAsia" w:hAnsi="宋体" w:cs="宋体"/>
          <w:sz w:val="24"/>
        </w:rPr>
        <w:t>（8）</w:t>
      </w:r>
      <w:r>
        <w:rPr>
          <w:rFonts w:hint="eastAsia" w:hAnsi="宋体" w:cs="宋体"/>
          <w:sz w:val="24"/>
          <w:szCs w:val="24"/>
        </w:rPr>
        <w:t>对于捏造事实、滥用维权扰乱采购秩序的恶意质疑者或举证不全查无实据被驳回次数在一年内达三次以上，将纳入不良行为记录名单并承担相应的法律责任。</w:t>
      </w:r>
    </w:p>
    <w:p w14:paraId="77C862C6">
      <w:pPr>
        <w:pStyle w:val="12"/>
        <w:spacing w:line="360" w:lineRule="auto"/>
        <w:ind w:firstLine="480" w:firstLineChars="200"/>
        <w:rPr>
          <w:rFonts w:hint="eastAsia" w:hAnsi="宋体" w:cs="宋体"/>
          <w:sz w:val="24"/>
          <w:szCs w:val="24"/>
        </w:rPr>
      </w:pPr>
      <w:r>
        <w:rPr>
          <w:rFonts w:hint="eastAsia" w:hAnsi="宋体" w:cs="宋体"/>
          <w:sz w:val="24"/>
        </w:rPr>
        <w:t>（9）</w:t>
      </w:r>
      <w:r>
        <w:rPr>
          <w:rFonts w:hint="eastAsia" w:hAnsi="宋体" w:cs="宋体"/>
          <w:sz w:val="24"/>
          <w:szCs w:val="24"/>
        </w:rPr>
        <w:t>采购代理机构接收质疑函的联系部门、联系电话和通讯地址等信息详见第一章通讯联系人、电话及地址。</w:t>
      </w:r>
    </w:p>
    <w:p w14:paraId="5D82338C">
      <w:pPr>
        <w:spacing w:line="360" w:lineRule="auto"/>
        <w:ind w:firstLine="480" w:firstLineChars="200"/>
        <w:rPr>
          <w:rFonts w:hint="eastAsia" w:ascii="宋体" w:hAnsi="宋体" w:cs="宋体"/>
          <w:sz w:val="24"/>
        </w:rPr>
      </w:pPr>
      <w:r>
        <w:rPr>
          <w:rFonts w:hint="eastAsia" w:ascii="宋体" w:hAnsi="宋体" w:cs="宋体"/>
          <w:sz w:val="24"/>
        </w:rPr>
        <w:t>（10）采购人、采购代理机构应当在收到投标人的书面质疑后七个工作日内作出答复，并以书面形式通知质疑投标人和其他有关投标人，但答复的内容不涉及商业秘密。</w:t>
      </w:r>
    </w:p>
    <w:p w14:paraId="6700782B">
      <w:pPr>
        <w:pStyle w:val="6"/>
        <w:spacing w:after="0" w:line="360" w:lineRule="auto"/>
        <w:ind w:firstLine="480" w:firstLineChars="200"/>
        <w:rPr>
          <w:rFonts w:hint="eastAsia" w:ascii="宋体" w:hAnsi="宋体" w:cs="宋体"/>
          <w:sz w:val="24"/>
        </w:rPr>
      </w:pPr>
      <w:r>
        <w:rPr>
          <w:rFonts w:hint="eastAsia" w:ascii="宋体" w:hAnsi="宋体" w:cs="宋体"/>
          <w:sz w:val="24"/>
        </w:rPr>
        <w:t>注：详细内容可查看《中华人民共和国财政部令第94号－－政府采购质疑和投诉办法》</w:t>
      </w:r>
    </w:p>
    <w:p w14:paraId="180F028F">
      <w:pPr>
        <w:pStyle w:val="12"/>
        <w:spacing w:line="360" w:lineRule="auto"/>
        <w:ind w:firstLine="480" w:firstLineChars="200"/>
        <w:rPr>
          <w:rFonts w:hint="eastAsia" w:hAnsi="宋体" w:cs="宋体"/>
          <w:sz w:val="24"/>
          <w:szCs w:val="24"/>
        </w:rPr>
      </w:pPr>
      <w:r>
        <w:rPr>
          <w:rFonts w:hint="eastAsia" w:hAnsi="宋体" w:cs="宋体"/>
          <w:sz w:val="24"/>
          <w:szCs w:val="24"/>
        </w:rPr>
        <w:t>8.1.2.2质疑处理</w:t>
      </w:r>
    </w:p>
    <w:p w14:paraId="12E1E1DF">
      <w:pPr>
        <w:tabs>
          <w:tab w:val="left" w:pos="7899"/>
        </w:tabs>
        <w:spacing w:line="360" w:lineRule="auto"/>
        <w:ind w:firstLine="480" w:firstLineChars="200"/>
        <w:rPr>
          <w:rFonts w:hint="eastAsia" w:ascii="宋体" w:hAnsi="宋体" w:cs="宋体"/>
          <w:sz w:val="24"/>
        </w:rPr>
      </w:pPr>
      <w:r>
        <w:rPr>
          <w:rFonts w:hint="eastAsia" w:ascii="宋体" w:hAnsi="宋体" w:cs="宋体"/>
          <w:sz w:val="24"/>
        </w:rPr>
        <w:t>（1）采购人、采购代理机构认为投标人质疑不成立，或者成立但未对中标结果构成影响的，继续开展采购活动；认为投标人质疑成立且影响或者可能影响中标结果的，按照下列情况处理：</w:t>
      </w:r>
    </w:p>
    <w:p w14:paraId="7EA2EB25">
      <w:pPr>
        <w:tabs>
          <w:tab w:val="left" w:pos="7899"/>
        </w:tabs>
        <w:spacing w:line="360" w:lineRule="auto"/>
        <w:ind w:firstLine="480" w:firstLineChars="200"/>
        <w:rPr>
          <w:rFonts w:hint="eastAsia" w:ascii="宋体" w:hAnsi="宋体" w:cs="宋体"/>
          <w:sz w:val="24"/>
        </w:rPr>
      </w:pPr>
      <w:r>
        <w:rPr>
          <w:rFonts w:hint="eastAsia" w:ascii="宋体" w:hAnsi="宋体" w:cs="宋体"/>
          <w:sz w:val="24"/>
        </w:rPr>
        <w:t>①对招标文件提出的质疑，依法通过澄清或者修改可以继续开展采购活动的，澄清或者修改招标文件后继续开展采购活动；否则应当修改招标文件后重新开展采购活动。</w:t>
      </w:r>
    </w:p>
    <w:p w14:paraId="4B23E10D">
      <w:pPr>
        <w:tabs>
          <w:tab w:val="left" w:pos="7899"/>
        </w:tabs>
        <w:spacing w:line="360" w:lineRule="auto"/>
        <w:ind w:firstLine="480" w:firstLineChars="200"/>
        <w:rPr>
          <w:rFonts w:hint="eastAsia" w:ascii="宋体" w:hAnsi="宋体" w:cs="宋体"/>
          <w:sz w:val="24"/>
        </w:rPr>
      </w:pPr>
      <w:r>
        <w:rPr>
          <w:rFonts w:hint="eastAsia" w:ascii="宋体" w:hAnsi="宋体" w:cs="宋体"/>
          <w:sz w:val="24"/>
        </w:rPr>
        <w:t>②对采购过程、中标结果提出的质疑，合格投标人符合法定数量时，可以从合格的中标候选人中另行确定中标人的，应当依法另行确定中标人；否则应当重新开展采购活动。</w:t>
      </w:r>
    </w:p>
    <w:p w14:paraId="3A7D9E3E">
      <w:pPr>
        <w:tabs>
          <w:tab w:val="left" w:pos="7899"/>
        </w:tabs>
        <w:spacing w:line="360" w:lineRule="auto"/>
        <w:ind w:firstLine="480" w:firstLineChars="200"/>
        <w:rPr>
          <w:rFonts w:hint="eastAsia" w:ascii="宋体" w:hAnsi="宋体" w:cs="宋体"/>
          <w:sz w:val="24"/>
        </w:rPr>
      </w:pPr>
      <w:r>
        <w:rPr>
          <w:rFonts w:hint="eastAsia" w:ascii="宋体" w:hAnsi="宋体" w:cs="宋体"/>
          <w:sz w:val="24"/>
        </w:rPr>
        <w:t>（2）质疑答复导致中标结果改变的，采购人或者采购代理机构应当将有关情况书面报告本级财政部门。</w:t>
      </w:r>
    </w:p>
    <w:p w14:paraId="002C874B">
      <w:pPr>
        <w:pStyle w:val="12"/>
        <w:spacing w:line="360" w:lineRule="auto"/>
        <w:ind w:firstLine="480" w:firstLineChars="200"/>
        <w:rPr>
          <w:rFonts w:hint="eastAsia" w:hAnsi="宋体" w:cs="宋体"/>
          <w:sz w:val="24"/>
          <w:szCs w:val="24"/>
        </w:rPr>
      </w:pPr>
      <w:r>
        <w:rPr>
          <w:rFonts w:hint="eastAsia" w:hAnsi="宋体" w:cs="宋体"/>
          <w:sz w:val="24"/>
          <w:szCs w:val="24"/>
        </w:rPr>
        <w:t>8.1.3投诉</w:t>
      </w:r>
    </w:p>
    <w:p w14:paraId="474F08C2">
      <w:pPr>
        <w:spacing w:line="360" w:lineRule="auto"/>
        <w:ind w:firstLine="480" w:firstLineChars="200"/>
        <w:rPr>
          <w:rFonts w:hint="eastAsia" w:ascii="宋体" w:hAnsi="宋体" w:cs="宋体"/>
          <w:sz w:val="24"/>
        </w:rPr>
      </w:pPr>
      <w:r>
        <w:rPr>
          <w:rFonts w:hint="eastAsia" w:ascii="宋体" w:hAnsi="宋体" w:cs="宋体"/>
          <w:sz w:val="24"/>
        </w:rPr>
        <w:t>投诉必须首先经过质疑程序。质疑投标人对采购人、采购代理机构的答复不满意，或者采购人、采购代理机构未在规定的时间内作出答复的，可以在答复期满后十五个工作日内书面向政府采购监督管理部门投诉。</w:t>
      </w:r>
    </w:p>
    <w:p w14:paraId="3E0FE361">
      <w:pPr>
        <w:pStyle w:val="12"/>
        <w:spacing w:line="360" w:lineRule="auto"/>
        <w:rPr>
          <w:rFonts w:hint="eastAsia" w:hAnsi="宋体" w:cs="宋体"/>
          <w:b/>
          <w:bCs/>
          <w:sz w:val="24"/>
          <w:szCs w:val="24"/>
        </w:rPr>
      </w:pPr>
      <w:r>
        <w:rPr>
          <w:rFonts w:hint="eastAsia" w:hAnsi="宋体" w:cs="宋体"/>
          <w:b/>
          <w:bCs/>
          <w:sz w:val="24"/>
          <w:szCs w:val="24"/>
        </w:rPr>
        <w:t>8.2纪律要求</w:t>
      </w:r>
    </w:p>
    <w:p w14:paraId="0292CD7E">
      <w:pPr>
        <w:spacing w:line="360" w:lineRule="auto"/>
        <w:rPr>
          <w:rFonts w:hint="eastAsia" w:ascii="宋体" w:hAnsi="宋体" w:cs="宋体"/>
          <w:bCs/>
          <w:sz w:val="24"/>
        </w:rPr>
      </w:pPr>
      <w:r>
        <w:rPr>
          <w:rFonts w:hint="eastAsia" w:ascii="宋体" w:hAnsi="宋体" w:cs="宋体"/>
          <w:bCs/>
          <w:sz w:val="24"/>
        </w:rPr>
        <w:t>8.2.1对采购人的纪律要求</w:t>
      </w:r>
    </w:p>
    <w:p w14:paraId="54E218AA">
      <w:pPr>
        <w:tabs>
          <w:tab w:val="left" w:pos="7899"/>
        </w:tabs>
        <w:spacing w:line="360" w:lineRule="auto"/>
        <w:ind w:firstLine="472" w:firstLineChars="197"/>
        <w:rPr>
          <w:rFonts w:hint="eastAsia" w:ascii="宋体" w:hAnsi="宋体" w:cs="宋体"/>
          <w:bCs/>
          <w:sz w:val="24"/>
        </w:rPr>
      </w:pPr>
      <w:r>
        <w:rPr>
          <w:rFonts w:hint="eastAsia" w:ascii="宋体" w:hAnsi="宋体" w:cs="宋体"/>
          <w:bCs/>
          <w:sz w:val="24"/>
        </w:rPr>
        <w:t>采购人不得泄露公开招标采购活动中应当保密的情况和资料，不得与投标人串通损害国家利益、社会公共利益或者他人合法权益。</w:t>
      </w:r>
    </w:p>
    <w:p w14:paraId="00D90CF4">
      <w:pPr>
        <w:spacing w:line="360" w:lineRule="auto"/>
        <w:rPr>
          <w:rFonts w:hint="eastAsia" w:ascii="宋体" w:hAnsi="宋体" w:cs="宋体"/>
          <w:bCs/>
          <w:sz w:val="24"/>
        </w:rPr>
      </w:pPr>
      <w:r>
        <w:rPr>
          <w:rFonts w:hint="eastAsia" w:ascii="宋体" w:hAnsi="宋体" w:cs="宋体"/>
          <w:bCs/>
          <w:sz w:val="24"/>
        </w:rPr>
        <w:t>8.2.2对投标人的纪律要求</w:t>
      </w:r>
    </w:p>
    <w:p w14:paraId="21D292EE">
      <w:pPr>
        <w:tabs>
          <w:tab w:val="left" w:pos="7899"/>
        </w:tabs>
        <w:spacing w:line="360" w:lineRule="auto"/>
        <w:ind w:firstLine="472" w:firstLineChars="197"/>
        <w:rPr>
          <w:rFonts w:hint="eastAsia" w:ascii="宋体" w:hAnsi="宋体" w:cs="宋体"/>
          <w:bCs/>
          <w:sz w:val="24"/>
        </w:rPr>
      </w:pPr>
      <w:r>
        <w:rPr>
          <w:rFonts w:hint="eastAsia" w:ascii="宋体" w:hAnsi="宋体" w:cs="宋体"/>
          <w:bCs/>
          <w:sz w:val="24"/>
        </w:rPr>
        <w:t>投标人不得相互串通或者与采购人串通，不得向采购人或者评标委员会成员行贿谋取中标，不得以他人名义参加公开招标采购活动或者以其他方式弄虚作假骗取中标；投标人不得以任何方式干扰、影响评审工作。</w:t>
      </w:r>
    </w:p>
    <w:p w14:paraId="265B8756">
      <w:pPr>
        <w:spacing w:line="360" w:lineRule="auto"/>
        <w:rPr>
          <w:rFonts w:hint="eastAsia" w:ascii="宋体" w:hAnsi="宋体" w:cs="宋体"/>
          <w:bCs/>
          <w:sz w:val="24"/>
        </w:rPr>
      </w:pPr>
      <w:r>
        <w:rPr>
          <w:rFonts w:hint="eastAsia" w:ascii="宋体" w:hAnsi="宋体" w:cs="宋体"/>
          <w:bCs/>
          <w:sz w:val="24"/>
        </w:rPr>
        <w:t>8.2.3对评标委员会成员的纪律要求</w:t>
      </w:r>
    </w:p>
    <w:p w14:paraId="2063A92D">
      <w:pPr>
        <w:tabs>
          <w:tab w:val="left" w:pos="7899"/>
        </w:tabs>
        <w:spacing w:line="360" w:lineRule="auto"/>
        <w:ind w:firstLine="472" w:firstLineChars="197"/>
        <w:rPr>
          <w:rFonts w:hint="eastAsia" w:ascii="宋体" w:hAnsi="宋体" w:cs="宋体"/>
          <w:bCs/>
          <w:sz w:val="24"/>
        </w:rPr>
      </w:pPr>
      <w:r>
        <w:rPr>
          <w:rFonts w:hint="eastAsia" w:ascii="宋体" w:hAnsi="宋体" w:cs="宋体"/>
          <w:bCs/>
          <w:sz w:val="24"/>
        </w:rPr>
        <w:t>评标委员会成员不得收受他人的财物或者其他好处，不得向他人透露对投标文件的评审和比较、候选中标投标人的推荐情况、评审中获悉的商业秘密以及评审有关的其他情况。在开标活动中，评标委员会成员应当客观、公正地履行职责，遵守职业道德，不得擅离职守、影响会议工作正常进行，不得使用第五章“评标方法”没有规定的评审因素和标准进行评审。</w:t>
      </w:r>
    </w:p>
    <w:p w14:paraId="2A5DE4A6">
      <w:pPr>
        <w:spacing w:line="360" w:lineRule="auto"/>
        <w:rPr>
          <w:rFonts w:hint="eastAsia" w:ascii="宋体" w:hAnsi="宋体" w:cs="宋体"/>
          <w:bCs/>
          <w:sz w:val="24"/>
        </w:rPr>
      </w:pPr>
      <w:r>
        <w:rPr>
          <w:rFonts w:hint="eastAsia" w:ascii="宋体" w:hAnsi="宋体" w:cs="宋体"/>
          <w:bCs/>
          <w:sz w:val="24"/>
        </w:rPr>
        <w:t>8.2.4对与采购活动有关的工作人员的纪律要求</w:t>
      </w:r>
    </w:p>
    <w:p w14:paraId="6F198676">
      <w:pPr>
        <w:spacing w:line="360" w:lineRule="auto"/>
        <w:ind w:firstLine="480" w:firstLineChars="200"/>
        <w:rPr>
          <w:rFonts w:hint="eastAsia" w:ascii="宋体" w:hAnsi="宋体" w:cs="宋体"/>
          <w:bCs/>
          <w:sz w:val="24"/>
        </w:rPr>
      </w:pPr>
      <w:r>
        <w:rPr>
          <w:rFonts w:hint="eastAsia" w:ascii="宋体" w:hAnsi="宋体" w:cs="宋体"/>
          <w:bCs/>
          <w:sz w:val="24"/>
        </w:rPr>
        <w:t>与开、评标活动有关的工作人员不得收受他人的财物或者其他好处，不得向他人透露对投标文件的评审、候选中标投标人的推荐情况以及开标有关的其他情况。在开、评标活动中，与开、评标活动有关的工作人员不得擅离职守，影响开、评标工作正常进行。</w:t>
      </w:r>
    </w:p>
    <w:p w14:paraId="4148505F">
      <w:pPr>
        <w:pStyle w:val="12"/>
        <w:spacing w:line="360" w:lineRule="auto"/>
        <w:rPr>
          <w:rFonts w:hint="eastAsia" w:hAnsi="宋体" w:cs="宋体"/>
          <w:b/>
          <w:bCs/>
          <w:sz w:val="24"/>
          <w:szCs w:val="24"/>
        </w:rPr>
      </w:pPr>
      <w:r>
        <w:rPr>
          <w:rFonts w:hint="eastAsia" w:hAnsi="宋体" w:cs="宋体"/>
          <w:b/>
          <w:bCs/>
          <w:sz w:val="24"/>
          <w:szCs w:val="24"/>
        </w:rPr>
        <w:t>8.3解释权</w:t>
      </w:r>
    </w:p>
    <w:p w14:paraId="0E40132C">
      <w:pPr>
        <w:spacing w:line="360" w:lineRule="auto"/>
        <w:ind w:firstLine="480" w:firstLineChars="200"/>
        <w:rPr>
          <w:rFonts w:hint="eastAsia" w:ascii="宋体" w:hAnsi="宋体" w:cs="宋体"/>
          <w:bCs/>
          <w:sz w:val="24"/>
        </w:rPr>
      </w:pPr>
      <w:r>
        <w:rPr>
          <w:rFonts w:hint="eastAsia" w:ascii="宋体" w:hAnsi="宋体" w:cs="宋体"/>
          <w:sz w:val="24"/>
        </w:rPr>
        <w:t>本招标文件是根据《中华人民共和国政府采购法》及相关法律法规编制，解释权</w:t>
      </w:r>
      <w:r>
        <w:rPr>
          <w:rFonts w:hint="eastAsia" w:ascii="宋体" w:hAnsi="宋体" w:cs="宋体"/>
          <w:bCs/>
          <w:sz w:val="24"/>
        </w:rPr>
        <w:t>属采购代理机构。</w:t>
      </w:r>
    </w:p>
    <w:p w14:paraId="4B2C3D79">
      <w:pPr>
        <w:spacing w:line="360" w:lineRule="auto"/>
        <w:rPr>
          <w:rFonts w:hint="eastAsia" w:ascii="宋体" w:hAnsi="宋体" w:cs="宋体"/>
          <w:b/>
          <w:bCs/>
          <w:sz w:val="24"/>
          <w:szCs w:val="28"/>
        </w:rPr>
      </w:pPr>
      <w:r>
        <w:rPr>
          <w:rFonts w:hint="eastAsia" w:ascii="宋体" w:hAnsi="宋体" w:cs="宋体"/>
          <w:b/>
          <w:bCs/>
          <w:sz w:val="24"/>
          <w:szCs w:val="28"/>
        </w:rPr>
        <w:br w:type="page"/>
      </w:r>
    </w:p>
    <w:p w14:paraId="7B3F3786">
      <w:pPr>
        <w:pStyle w:val="6"/>
        <w:spacing w:after="0" w:line="360" w:lineRule="auto"/>
        <w:rPr>
          <w:rFonts w:hint="eastAsia" w:ascii="宋体" w:hAnsi="宋体" w:cs="宋体"/>
          <w:b/>
          <w:bCs/>
          <w:sz w:val="24"/>
          <w:szCs w:val="28"/>
        </w:rPr>
      </w:pPr>
      <w:r>
        <w:rPr>
          <w:rFonts w:hint="eastAsia" w:ascii="宋体" w:hAnsi="宋体" w:cs="宋体"/>
          <w:b/>
          <w:bCs/>
          <w:sz w:val="24"/>
          <w:szCs w:val="28"/>
        </w:rPr>
        <w:t>附表 1：问题澄清通知</w:t>
      </w:r>
    </w:p>
    <w:p w14:paraId="43421773">
      <w:pPr>
        <w:pStyle w:val="6"/>
        <w:spacing w:after="0" w:line="360" w:lineRule="auto"/>
        <w:jc w:val="center"/>
        <w:rPr>
          <w:rFonts w:hint="eastAsia" w:ascii="宋体" w:hAnsi="宋体" w:cs="宋体"/>
          <w:b/>
          <w:bCs/>
          <w:sz w:val="24"/>
          <w:szCs w:val="28"/>
        </w:rPr>
      </w:pPr>
      <w:r>
        <w:rPr>
          <w:rFonts w:hint="eastAsia" w:ascii="宋体" w:hAnsi="宋体" w:cs="宋体"/>
          <w:b/>
          <w:bCs/>
          <w:sz w:val="24"/>
          <w:szCs w:val="28"/>
        </w:rPr>
        <w:t>问题澄清通知</w:t>
      </w:r>
    </w:p>
    <w:p w14:paraId="598A75B6">
      <w:pPr>
        <w:pStyle w:val="6"/>
        <w:spacing w:after="0" w:line="360" w:lineRule="auto"/>
        <w:jc w:val="center"/>
        <w:rPr>
          <w:rFonts w:hint="eastAsia" w:ascii="宋体" w:hAnsi="宋体" w:cs="宋体"/>
          <w:b/>
          <w:bCs/>
          <w:sz w:val="24"/>
          <w:szCs w:val="28"/>
        </w:rPr>
      </w:pPr>
      <w:r>
        <w:rPr>
          <w:rFonts w:hint="eastAsia" w:ascii="宋体" w:hAnsi="宋体" w:cs="宋体"/>
          <w:b/>
          <w:bCs/>
          <w:sz w:val="24"/>
          <w:szCs w:val="28"/>
        </w:rPr>
        <w:t>项目编号：</w:t>
      </w:r>
    </w:p>
    <w:p w14:paraId="2FD2A647">
      <w:pPr>
        <w:spacing w:line="360" w:lineRule="auto"/>
        <w:rPr>
          <w:rFonts w:hint="eastAsia" w:ascii="宋体" w:hAnsi="宋体" w:cs="宋体"/>
          <w:sz w:val="24"/>
        </w:rPr>
      </w:pPr>
      <w:r>
        <w:rPr>
          <w:rFonts w:hint="eastAsia" w:ascii="宋体" w:hAnsi="宋体" w:cs="宋体"/>
          <w:sz w:val="24"/>
        </w:rPr>
        <w:t>（投标供应商名称）：</w:t>
      </w:r>
    </w:p>
    <w:p w14:paraId="3F41BF7E">
      <w:pPr>
        <w:spacing w:line="360" w:lineRule="auto"/>
        <w:ind w:firstLine="480" w:firstLineChars="200"/>
        <w:rPr>
          <w:rFonts w:hint="eastAsia" w:ascii="宋体" w:hAnsi="宋体" w:cs="宋体"/>
          <w:sz w:val="24"/>
        </w:rPr>
      </w:pPr>
      <w:r>
        <w:rPr>
          <w:rFonts w:hint="eastAsia" w:ascii="宋体" w:hAnsi="宋体" w:cs="宋体"/>
          <w:sz w:val="24"/>
        </w:rPr>
        <w:t xml:space="preserve">（项目名称）采购的评标委员会，对你方的投标文件进行了仔细的审查，现需你方对下列问题以书面形式予以澄清： </w:t>
      </w:r>
    </w:p>
    <w:p w14:paraId="585C2C79">
      <w:pPr>
        <w:spacing w:line="360" w:lineRule="auto"/>
        <w:ind w:firstLine="480" w:firstLineChars="200"/>
        <w:rPr>
          <w:rFonts w:hint="eastAsia" w:ascii="宋体" w:hAnsi="宋体" w:cs="宋体"/>
          <w:sz w:val="24"/>
        </w:rPr>
      </w:pPr>
      <w:r>
        <w:rPr>
          <w:rFonts w:hint="eastAsia" w:ascii="宋体" w:hAnsi="宋体" w:cs="宋体"/>
          <w:sz w:val="24"/>
        </w:rPr>
        <w:t xml:space="preserve">1. </w:t>
      </w:r>
    </w:p>
    <w:p w14:paraId="632306C8">
      <w:pPr>
        <w:spacing w:line="360" w:lineRule="auto"/>
        <w:ind w:firstLine="480" w:firstLineChars="200"/>
        <w:rPr>
          <w:rFonts w:hint="eastAsia" w:ascii="宋体" w:hAnsi="宋体" w:cs="宋体"/>
          <w:sz w:val="24"/>
        </w:rPr>
      </w:pPr>
      <w:r>
        <w:rPr>
          <w:rFonts w:hint="eastAsia" w:ascii="宋体" w:hAnsi="宋体" w:cs="宋体"/>
          <w:sz w:val="24"/>
        </w:rPr>
        <w:t xml:space="preserve">2. </w:t>
      </w:r>
    </w:p>
    <w:p w14:paraId="51C804EA">
      <w:pPr>
        <w:spacing w:line="360" w:lineRule="auto"/>
        <w:ind w:firstLine="480" w:firstLineChars="200"/>
        <w:rPr>
          <w:rFonts w:hint="eastAsia" w:ascii="宋体" w:hAnsi="宋体" w:cs="宋体"/>
          <w:sz w:val="24"/>
        </w:rPr>
      </w:pPr>
      <w:r>
        <w:rPr>
          <w:rFonts w:hint="eastAsia" w:ascii="宋体" w:hAnsi="宋体" w:cs="宋体"/>
          <w:sz w:val="24"/>
        </w:rPr>
        <w:t xml:space="preserve">…… </w:t>
      </w:r>
    </w:p>
    <w:p w14:paraId="0171722F">
      <w:pPr>
        <w:spacing w:line="360" w:lineRule="auto"/>
        <w:ind w:firstLine="480" w:firstLineChars="200"/>
        <w:rPr>
          <w:rFonts w:hint="eastAsia" w:ascii="宋体" w:hAnsi="宋体" w:cs="宋体"/>
          <w:sz w:val="24"/>
        </w:rPr>
      </w:pPr>
      <w:r>
        <w:rPr>
          <w:rFonts w:hint="eastAsia" w:ascii="宋体" w:hAnsi="宋体" w:cs="宋体"/>
          <w:sz w:val="24"/>
        </w:rPr>
        <w:t>请将上述问题的澄清于</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r>
        <w:rPr>
          <w:rFonts w:hint="eastAsia" w:ascii="宋体" w:hAnsi="宋体" w:cs="宋体"/>
          <w:sz w:val="24"/>
          <w:u w:val="single"/>
        </w:rPr>
        <w:t xml:space="preserve">    </w:t>
      </w:r>
      <w:r>
        <w:rPr>
          <w:rFonts w:hint="eastAsia" w:ascii="宋体" w:hAnsi="宋体" w:cs="宋体"/>
          <w:sz w:val="24"/>
        </w:rPr>
        <w:t>时前递交至（详细地址）或发送至（邮箱号码）。采用邮件方式的，应在</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r>
        <w:rPr>
          <w:rFonts w:hint="eastAsia" w:ascii="宋体" w:hAnsi="宋体" w:cs="宋体"/>
          <w:sz w:val="24"/>
          <w:u w:val="single"/>
        </w:rPr>
        <w:t xml:space="preserve">   </w:t>
      </w:r>
      <w:r>
        <w:rPr>
          <w:rFonts w:hint="eastAsia" w:ascii="宋体" w:hAnsi="宋体" w:cs="宋体"/>
          <w:sz w:val="24"/>
        </w:rPr>
        <w:t xml:space="preserve">时前将原件递交至（详细地址）。 </w:t>
      </w:r>
    </w:p>
    <w:p w14:paraId="78361B22">
      <w:pPr>
        <w:pStyle w:val="6"/>
        <w:spacing w:line="360" w:lineRule="auto"/>
        <w:rPr>
          <w:rFonts w:hint="eastAsia" w:ascii="宋体" w:hAnsi="宋体" w:cs="宋体"/>
        </w:rPr>
      </w:pPr>
    </w:p>
    <w:p w14:paraId="4EBBF20B">
      <w:pPr>
        <w:spacing w:line="360" w:lineRule="auto"/>
        <w:ind w:firstLine="480" w:firstLineChars="200"/>
        <w:jc w:val="right"/>
        <w:rPr>
          <w:rFonts w:hint="eastAsia" w:ascii="宋体" w:hAnsi="宋体" w:cs="宋体"/>
          <w:sz w:val="24"/>
        </w:rPr>
      </w:pPr>
      <w:r>
        <w:rPr>
          <w:rFonts w:hint="eastAsia" w:ascii="宋体" w:hAnsi="宋体" w:cs="宋体"/>
          <w:sz w:val="24"/>
        </w:rPr>
        <w:t>评标人工作组负责人：（签字）</w:t>
      </w:r>
    </w:p>
    <w:p w14:paraId="1B417DC5">
      <w:pPr>
        <w:pStyle w:val="6"/>
        <w:spacing w:line="360" w:lineRule="auto"/>
        <w:rPr>
          <w:rFonts w:hint="eastAsia" w:ascii="宋体" w:hAnsi="宋体" w:cs="宋体"/>
        </w:rPr>
      </w:pPr>
    </w:p>
    <w:p w14:paraId="3A82A604">
      <w:pPr>
        <w:spacing w:line="360" w:lineRule="auto"/>
        <w:ind w:firstLine="480" w:firstLineChars="200"/>
        <w:jc w:val="right"/>
        <w:rPr>
          <w:rFonts w:hint="eastAsia" w:ascii="宋体" w:hAnsi="宋体" w:cs="宋体"/>
          <w:sz w:val="24"/>
        </w:rPr>
      </w:pPr>
      <w:r>
        <w:rPr>
          <w:rFonts w:hint="eastAsia" w:ascii="宋体" w:hAnsi="宋体" w:cs="宋体"/>
          <w:sz w:val="24"/>
        </w:rPr>
        <w:t>年   月   日</w:t>
      </w:r>
    </w:p>
    <w:p w14:paraId="4127AAD0">
      <w:pPr>
        <w:spacing w:line="360" w:lineRule="auto"/>
        <w:ind w:firstLine="480" w:firstLineChars="200"/>
        <w:jc w:val="right"/>
        <w:rPr>
          <w:rFonts w:hint="eastAsia" w:ascii="宋体" w:hAnsi="宋体" w:cs="宋体"/>
          <w:sz w:val="24"/>
        </w:rPr>
      </w:pPr>
    </w:p>
    <w:p w14:paraId="29D0D2B8">
      <w:pPr>
        <w:pStyle w:val="6"/>
        <w:spacing w:after="0" w:line="360" w:lineRule="auto"/>
        <w:rPr>
          <w:rFonts w:hint="eastAsia" w:ascii="宋体" w:hAnsi="宋体" w:cs="宋体"/>
          <w:b/>
          <w:bCs/>
          <w:sz w:val="24"/>
          <w:szCs w:val="28"/>
        </w:rPr>
      </w:pPr>
      <w:r>
        <w:rPr>
          <w:rFonts w:hint="eastAsia" w:ascii="宋体" w:hAnsi="宋体" w:cs="宋体"/>
          <w:b/>
          <w:bCs/>
          <w:sz w:val="24"/>
          <w:szCs w:val="28"/>
        </w:rPr>
        <w:t>附表 2：问题澄清函</w:t>
      </w:r>
    </w:p>
    <w:p w14:paraId="4B309890">
      <w:pPr>
        <w:pStyle w:val="6"/>
        <w:spacing w:after="0" w:line="360" w:lineRule="auto"/>
        <w:jc w:val="center"/>
        <w:rPr>
          <w:rFonts w:hint="eastAsia" w:ascii="宋体" w:hAnsi="宋体" w:cs="宋体"/>
          <w:b/>
          <w:bCs/>
          <w:sz w:val="24"/>
          <w:szCs w:val="28"/>
        </w:rPr>
      </w:pPr>
      <w:r>
        <w:rPr>
          <w:rFonts w:hint="eastAsia" w:ascii="宋体" w:hAnsi="宋体" w:cs="宋体"/>
          <w:b/>
          <w:bCs/>
          <w:sz w:val="24"/>
          <w:szCs w:val="28"/>
        </w:rPr>
        <w:t>问题澄清函</w:t>
      </w:r>
    </w:p>
    <w:p w14:paraId="22599D3D">
      <w:pPr>
        <w:pStyle w:val="6"/>
        <w:spacing w:after="0" w:line="360" w:lineRule="auto"/>
        <w:jc w:val="center"/>
        <w:rPr>
          <w:rFonts w:hint="eastAsia" w:ascii="宋体" w:hAnsi="宋体" w:cs="宋体"/>
          <w:b/>
          <w:bCs/>
          <w:sz w:val="24"/>
          <w:szCs w:val="28"/>
        </w:rPr>
      </w:pPr>
      <w:r>
        <w:rPr>
          <w:rFonts w:hint="eastAsia" w:ascii="宋体" w:hAnsi="宋体" w:cs="宋体"/>
          <w:b/>
          <w:bCs/>
          <w:sz w:val="24"/>
          <w:szCs w:val="28"/>
        </w:rPr>
        <w:t>项目编号：</w:t>
      </w:r>
    </w:p>
    <w:p w14:paraId="62F1E73A">
      <w:pPr>
        <w:pStyle w:val="6"/>
        <w:spacing w:after="0" w:line="360" w:lineRule="auto"/>
        <w:rPr>
          <w:rFonts w:hint="eastAsia" w:ascii="宋体" w:hAnsi="宋体" w:cs="宋体"/>
          <w:sz w:val="24"/>
        </w:rPr>
      </w:pPr>
      <w:r>
        <w:rPr>
          <w:rFonts w:hint="eastAsia" w:ascii="宋体" w:hAnsi="宋体" w:cs="宋体"/>
          <w:sz w:val="24"/>
        </w:rPr>
        <w:t>（项目名称）采购评标委员会：</w:t>
      </w:r>
    </w:p>
    <w:p w14:paraId="75409381">
      <w:pPr>
        <w:pStyle w:val="6"/>
        <w:spacing w:after="0" w:line="360" w:lineRule="auto"/>
        <w:ind w:firstLine="480" w:firstLineChars="200"/>
        <w:rPr>
          <w:rFonts w:hint="eastAsia" w:ascii="宋体" w:hAnsi="宋体" w:cs="宋体"/>
          <w:sz w:val="24"/>
        </w:rPr>
      </w:pPr>
      <w:r>
        <w:rPr>
          <w:rFonts w:hint="eastAsia" w:ascii="宋体" w:hAnsi="宋体" w:cs="宋体"/>
          <w:sz w:val="24"/>
        </w:rPr>
        <w:t>问题澄清通知（编号：</w:t>
      </w:r>
      <w:r>
        <w:rPr>
          <w:rFonts w:hint="eastAsia" w:ascii="宋体" w:hAnsi="宋体" w:cs="宋体"/>
          <w:sz w:val="24"/>
          <w:u w:val="single"/>
        </w:rPr>
        <w:t xml:space="preserve">     </w:t>
      </w:r>
      <w:r>
        <w:rPr>
          <w:rFonts w:hint="eastAsia" w:ascii="宋体" w:hAnsi="宋体" w:cs="宋体"/>
          <w:sz w:val="24"/>
        </w:rPr>
        <w:t>）已收悉，现澄清如下：</w:t>
      </w:r>
    </w:p>
    <w:p w14:paraId="4967AA3B">
      <w:pPr>
        <w:pStyle w:val="6"/>
        <w:spacing w:after="0" w:line="360" w:lineRule="auto"/>
        <w:ind w:firstLine="480" w:firstLineChars="200"/>
        <w:rPr>
          <w:rFonts w:hint="eastAsia" w:ascii="宋体" w:hAnsi="宋体" w:cs="宋体"/>
          <w:sz w:val="24"/>
        </w:rPr>
      </w:pPr>
      <w:r>
        <w:rPr>
          <w:rFonts w:hint="eastAsia" w:ascii="宋体" w:hAnsi="宋体" w:cs="宋体"/>
          <w:sz w:val="24"/>
        </w:rPr>
        <w:t>1.</w:t>
      </w:r>
    </w:p>
    <w:p w14:paraId="28FA88B4">
      <w:pPr>
        <w:pStyle w:val="6"/>
        <w:spacing w:after="0" w:line="360" w:lineRule="auto"/>
        <w:ind w:firstLine="480" w:firstLineChars="200"/>
        <w:rPr>
          <w:rFonts w:hint="eastAsia" w:ascii="宋体" w:hAnsi="宋体" w:cs="宋体"/>
          <w:sz w:val="24"/>
        </w:rPr>
      </w:pPr>
      <w:r>
        <w:rPr>
          <w:rFonts w:hint="eastAsia" w:ascii="宋体" w:hAnsi="宋体" w:cs="宋体"/>
          <w:sz w:val="24"/>
        </w:rPr>
        <w:t>2.</w:t>
      </w:r>
    </w:p>
    <w:p w14:paraId="2E5B311E">
      <w:pPr>
        <w:pStyle w:val="6"/>
        <w:spacing w:after="0" w:line="360" w:lineRule="auto"/>
        <w:ind w:firstLine="480" w:firstLineChars="200"/>
        <w:rPr>
          <w:rFonts w:hint="eastAsia" w:ascii="宋体" w:hAnsi="宋体" w:cs="宋体"/>
          <w:sz w:val="24"/>
        </w:rPr>
      </w:pPr>
      <w:r>
        <w:rPr>
          <w:rFonts w:hint="eastAsia" w:ascii="宋体" w:hAnsi="宋体" w:cs="宋体"/>
          <w:sz w:val="24"/>
        </w:rPr>
        <w:t>……</w:t>
      </w:r>
    </w:p>
    <w:p w14:paraId="7B780990">
      <w:pPr>
        <w:pStyle w:val="6"/>
        <w:spacing w:after="0" w:line="360" w:lineRule="auto"/>
        <w:ind w:firstLine="480" w:firstLineChars="200"/>
        <w:jc w:val="right"/>
        <w:rPr>
          <w:rFonts w:hint="eastAsia" w:ascii="宋体" w:hAnsi="宋体" w:cs="宋体"/>
          <w:sz w:val="24"/>
        </w:rPr>
      </w:pPr>
      <w:r>
        <w:rPr>
          <w:rFonts w:hint="eastAsia" w:ascii="宋体" w:hAnsi="宋体" w:cs="宋体"/>
          <w:sz w:val="24"/>
        </w:rPr>
        <w:t>投标人： （全称）（盖章）</w:t>
      </w:r>
    </w:p>
    <w:p w14:paraId="4713C5F5">
      <w:pPr>
        <w:pStyle w:val="6"/>
        <w:spacing w:after="0" w:line="360" w:lineRule="auto"/>
        <w:ind w:firstLine="480" w:firstLineChars="200"/>
        <w:jc w:val="right"/>
        <w:rPr>
          <w:rFonts w:hint="eastAsia" w:ascii="宋体" w:hAnsi="宋体" w:cs="宋体"/>
          <w:sz w:val="24"/>
        </w:rPr>
      </w:pPr>
      <w:r>
        <w:rPr>
          <w:rFonts w:hint="eastAsia" w:ascii="宋体" w:hAnsi="宋体" w:cs="宋体"/>
          <w:sz w:val="24"/>
        </w:rPr>
        <w:t>法定代表人或其委托代理人：（签字）</w:t>
      </w:r>
    </w:p>
    <w:p w14:paraId="5C9E3087">
      <w:pPr>
        <w:pStyle w:val="6"/>
        <w:spacing w:after="0" w:line="360" w:lineRule="auto"/>
        <w:ind w:firstLine="480" w:firstLineChars="200"/>
        <w:jc w:val="right"/>
        <w:rPr>
          <w:rFonts w:hint="eastAsia" w:ascii="宋体" w:hAnsi="宋体" w:cs="宋体"/>
          <w:sz w:val="24"/>
        </w:rPr>
      </w:pPr>
      <w:r>
        <w:rPr>
          <w:rFonts w:hint="eastAsia" w:ascii="宋体" w:hAnsi="宋体" w:cs="宋体"/>
          <w:sz w:val="24"/>
        </w:rPr>
        <w:t>年  月  日</w:t>
      </w:r>
    </w:p>
    <w:p w14:paraId="3BB893CB">
      <w:pPr>
        <w:spacing w:line="360" w:lineRule="auto"/>
        <w:ind w:firstLine="480" w:firstLineChars="200"/>
        <w:rPr>
          <w:rFonts w:hint="eastAsia" w:ascii="宋体" w:hAnsi="宋体" w:cs="宋体"/>
          <w:bCs/>
          <w:sz w:val="24"/>
        </w:rPr>
      </w:pPr>
      <w:r>
        <w:rPr>
          <w:rFonts w:hint="eastAsia" w:ascii="宋体" w:hAnsi="宋体" w:cs="宋体"/>
          <w:bCs/>
          <w:sz w:val="24"/>
        </w:rPr>
        <w:br w:type="page"/>
      </w:r>
    </w:p>
    <w:p w14:paraId="330AAA0A">
      <w:pPr>
        <w:pStyle w:val="3"/>
        <w:jc w:val="center"/>
        <w:rPr>
          <w:rFonts w:hint="eastAsia" w:ascii="宋体" w:hAnsi="宋体" w:eastAsia="宋体" w:cs="宋体"/>
        </w:rPr>
      </w:pPr>
      <w:bookmarkStart w:id="102" w:name="_Toc7339"/>
      <w:bookmarkStart w:id="103" w:name="_Toc22021"/>
      <w:r>
        <w:rPr>
          <w:rFonts w:hint="eastAsia" w:ascii="宋体" w:hAnsi="宋体" w:eastAsia="宋体" w:cs="宋体"/>
        </w:rPr>
        <w:t>第三章 合同书样式及主要条款（草案）</w:t>
      </w:r>
      <w:bookmarkEnd w:id="102"/>
      <w:bookmarkEnd w:id="103"/>
    </w:p>
    <w:p w14:paraId="3B2A0C90">
      <w:pPr>
        <w:spacing w:line="360" w:lineRule="auto"/>
        <w:jc w:val="center"/>
        <w:rPr>
          <w:rFonts w:hint="eastAsia" w:ascii="宋体" w:hAnsi="宋体" w:cs="宋体"/>
          <w:b/>
          <w:sz w:val="44"/>
          <w:szCs w:val="44"/>
        </w:rPr>
      </w:pPr>
    </w:p>
    <w:p w14:paraId="5730BC5D">
      <w:pPr>
        <w:spacing w:line="360" w:lineRule="auto"/>
        <w:jc w:val="center"/>
        <w:rPr>
          <w:rFonts w:hint="eastAsia" w:ascii="宋体" w:hAnsi="宋体" w:cs="宋体"/>
          <w:b/>
          <w:bCs/>
        </w:rPr>
      </w:pPr>
      <w:r>
        <w:rPr>
          <w:rFonts w:hint="eastAsia" w:ascii="宋体" w:hAnsi="宋体" w:cs="宋体"/>
          <w:b/>
          <w:bCs/>
          <w:sz w:val="24"/>
          <w:szCs w:val="15"/>
        </w:rPr>
        <w:t>（本合同书为参考格式，合同格式及主要条款具体以采购人与中标人双方按招标文件和投标文件并结合本项目实际情况协商签订的为准</w:t>
      </w:r>
      <w:r>
        <w:rPr>
          <w:rFonts w:hint="eastAsia" w:ascii="宋体" w:hAnsi="宋体" w:cs="宋体"/>
          <w:b/>
          <w:bCs/>
        </w:rPr>
        <w:t>。</w:t>
      </w:r>
      <w:r>
        <w:rPr>
          <w:rFonts w:hint="eastAsia" w:ascii="宋体" w:hAnsi="宋体" w:cs="宋体"/>
          <w:b/>
          <w:bCs/>
          <w:sz w:val="24"/>
          <w:szCs w:val="15"/>
        </w:rPr>
        <w:t>）</w:t>
      </w:r>
    </w:p>
    <w:p w14:paraId="03B723A4">
      <w:pPr>
        <w:spacing w:line="360" w:lineRule="auto"/>
        <w:rPr>
          <w:rFonts w:hint="eastAsia" w:ascii="宋体" w:hAnsi="宋体" w:cs="宋体"/>
          <w:b/>
          <w:bCs/>
        </w:rPr>
      </w:pPr>
    </w:p>
    <w:p w14:paraId="23DEF49D">
      <w:pPr>
        <w:snapToGrid w:val="0"/>
        <w:spacing w:line="360" w:lineRule="auto"/>
        <w:jc w:val="center"/>
        <w:rPr>
          <w:rFonts w:hint="eastAsia" w:ascii="宋体" w:hAnsi="宋体" w:cs="宋体"/>
          <w:b/>
          <w:bCs/>
          <w:sz w:val="24"/>
        </w:rPr>
      </w:pPr>
    </w:p>
    <w:p w14:paraId="3B5B010E">
      <w:pPr>
        <w:snapToGrid w:val="0"/>
        <w:spacing w:line="360" w:lineRule="auto"/>
        <w:jc w:val="center"/>
        <w:rPr>
          <w:rFonts w:hint="eastAsia" w:ascii="宋体" w:hAnsi="宋体" w:cs="宋体"/>
          <w:b/>
          <w:bCs/>
          <w:sz w:val="52"/>
          <w:szCs w:val="52"/>
        </w:rPr>
      </w:pPr>
    </w:p>
    <w:p w14:paraId="2D443DA5">
      <w:pPr>
        <w:snapToGrid w:val="0"/>
        <w:spacing w:line="360" w:lineRule="auto"/>
        <w:jc w:val="center"/>
        <w:rPr>
          <w:rFonts w:hint="eastAsia" w:ascii="宋体" w:hAnsi="宋体" w:cs="宋体"/>
          <w:b/>
          <w:bCs/>
          <w:sz w:val="52"/>
          <w:szCs w:val="52"/>
        </w:rPr>
      </w:pPr>
    </w:p>
    <w:p w14:paraId="2DFDA854">
      <w:pPr>
        <w:snapToGrid w:val="0"/>
        <w:spacing w:line="360" w:lineRule="auto"/>
        <w:jc w:val="center"/>
        <w:rPr>
          <w:rFonts w:hint="eastAsia" w:ascii="宋体" w:hAnsi="宋体" w:cs="宋体"/>
          <w:b/>
          <w:bCs/>
          <w:sz w:val="52"/>
          <w:szCs w:val="52"/>
        </w:rPr>
      </w:pPr>
    </w:p>
    <w:p w14:paraId="772F59A2">
      <w:pPr>
        <w:snapToGrid w:val="0"/>
        <w:spacing w:line="360" w:lineRule="auto"/>
        <w:jc w:val="center"/>
        <w:rPr>
          <w:rFonts w:hint="eastAsia" w:ascii="宋体" w:hAnsi="宋体" w:cs="宋体"/>
          <w:b/>
          <w:bCs/>
          <w:sz w:val="52"/>
          <w:szCs w:val="52"/>
        </w:rPr>
      </w:pPr>
      <w:r>
        <w:rPr>
          <w:rFonts w:hint="eastAsia" w:ascii="宋体" w:hAnsi="宋体" w:cs="宋体"/>
          <w:b/>
          <w:bCs/>
          <w:sz w:val="52"/>
          <w:szCs w:val="52"/>
        </w:rPr>
        <w:t>政府采购合同</w:t>
      </w:r>
    </w:p>
    <w:p w14:paraId="6E8E81C0">
      <w:pPr>
        <w:snapToGrid w:val="0"/>
        <w:spacing w:line="360" w:lineRule="auto"/>
        <w:jc w:val="center"/>
        <w:rPr>
          <w:rFonts w:hint="eastAsia" w:ascii="宋体" w:hAnsi="宋体" w:cs="宋体"/>
          <w:b/>
          <w:bCs/>
          <w:sz w:val="32"/>
          <w:szCs w:val="32"/>
        </w:rPr>
      </w:pPr>
      <w:r>
        <w:rPr>
          <w:rFonts w:hint="eastAsia" w:ascii="宋体" w:hAnsi="宋体" w:cs="宋体"/>
          <w:b/>
          <w:bCs/>
          <w:sz w:val="32"/>
          <w:szCs w:val="32"/>
        </w:rPr>
        <w:t>（电子交易项目使用）</w:t>
      </w:r>
    </w:p>
    <w:p w14:paraId="6C14A426">
      <w:pPr>
        <w:snapToGrid w:val="0"/>
        <w:spacing w:line="360" w:lineRule="auto"/>
        <w:rPr>
          <w:rFonts w:hint="eastAsia" w:ascii="宋体" w:hAnsi="宋体" w:cs="宋体"/>
          <w:b/>
          <w:bCs/>
          <w:sz w:val="32"/>
          <w:szCs w:val="32"/>
        </w:rPr>
      </w:pPr>
    </w:p>
    <w:p w14:paraId="6EEA3A51">
      <w:pPr>
        <w:snapToGrid w:val="0"/>
        <w:spacing w:line="360" w:lineRule="auto"/>
        <w:rPr>
          <w:rFonts w:hint="eastAsia" w:ascii="宋体" w:hAnsi="宋体" w:cs="宋体"/>
          <w:b/>
          <w:bCs/>
          <w:sz w:val="32"/>
          <w:szCs w:val="32"/>
        </w:rPr>
      </w:pPr>
    </w:p>
    <w:p w14:paraId="2ACC20A6">
      <w:pPr>
        <w:snapToGrid w:val="0"/>
        <w:spacing w:line="360" w:lineRule="auto"/>
        <w:rPr>
          <w:rFonts w:hint="eastAsia" w:ascii="宋体" w:hAnsi="宋体" w:cs="宋体"/>
          <w:b/>
          <w:bCs/>
          <w:sz w:val="32"/>
          <w:szCs w:val="32"/>
        </w:rPr>
      </w:pPr>
    </w:p>
    <w:p w14:paraId="740D5772">
      <w:pPr>
        <w:snapToGrid w:val="0"/>
        <w:spacing w:line="360" w:lineRule="auto"/>
        <w:rPr>
          <w:rFonts w:hint="eastAsia" w:ascii="宋体" w:hAnsi="宋体" w:cs="宋体"/>
          <w:b/>
          <w:bCs/>
          <w:sz w:val="32"/>
          <w:szCs w:val="32"/>
        </w:rPr>
      </w:pPr>
    </w:p>
    <w:p w14:paraId="3EE093C5">
      <w:pPr>
        <w:snapToGrid w:val="0"/>
        <w:spacing w:line="360" w:lineRule="auto"/>
        <w:rPr>
          <w:rFonts w:hint="eastAsia" w:ascii="宋体" w:hAnsi="宋体" w:cs="宋体"/>
          <w:b/>
          <w:bCs/>
          <w:sz w:val="32"/>
          <w:szCs w:val="32"/>
        </w:rPr>
      </w:pPr>
    </w:p>
    <w:p w14:paraId="4891C103">
      <w:pPr>
        <w:snapToGrid w:val="0"/>
        <w:spacing w:line="360" w:lineRule="auto"/>
        <w:rPr>
          <w:rFonts w:hint="eastAsia" w:ascii="宋体" w:hAnsi="宋体" w:cs="宋体"/>
          <w:b/>
          <w:bCs/>
          <w:sz w:val="32"/>
          <w:szCs w:val="32"/>
          <w:u w:val="single"/>
        </w:rPr>
      </w:pPr>
      <w:r>
        <w:rPr>
          <w:rFonts w:hint="eastAsia" w:ascii="宋体" w:hAnsi="宋体" w:cs="宋体"/>
          <w:b/>
          <w:bCs/>
          <w:sz w:val="32"/>
          <w:szCs w:val="32"/>
        </w:rPr>
        <w:t>项目名称：</w:t>
      </w:r>
      <w:r>
        <w:rPr>
          <w:rFonts w:hint="eastAsia" w:ascii="宋体" w:hAnsi="宋体" w:cs="宋体"/>
          <w:b/>
          <w:bCs/>
          <w:sz w:val="32"/>
          <w:szCs w:val="32"/>
          <w:u w:val="single"/>
        </w:rPr>
        <w:t xml:space="preserve">                           </w:t>
      </w:r>
    </w:p>
    <w:p w14:paraId="1AA65EC4">
      <w:pPr>
        <w:snapToGrid w:val="0"/>
        <w:spacing w:line="360" w:lineRule="auto"/>
        <w:rPr>
          <w:rFonts w:hint="eastAsia" w:ascii="宋体" w:hAnsi="宋体" w:cs="宋体"/>
          <w:b/>
          <w:bCs/>
          <w:sz w:val="32"/>
          <w:szCs w:val="32"/>
        </w:rPr>
      </w:pPr>
      <w:r>
        <w:rPr>
          <w:rFonts w:hint="eastAsia" w:ascii="宋体" w:hAnsi="宋体" w:cs="宋体"/>
          <w:b/>
          <w:bCs/>
          <w:sz w:val="32"/>
          <w:szCs w:val="32"/>
        </w:rPr>
        <w:t>合同编号：</w:t>
      </w:r>
      <w:r>
        <w:rPr>
          <w:rFonts w:hint="eastAsia" w:ascii="宋体" w:hAnsi="宋体" w:cs="宋体"/>
          <w:b/>
          <w:bCs/>
          <w:sz w:val="32"/>
          <w:szCs w:val="32"/>
          <w:u w:val="single"/>
        </w:rPr>
        <w:t xml:space="preserve">                        </w:t>
      </w:r>
      <w:r>
        <w:rPr>
          <w:rFonts w:hint="eastAsia" w:ascii="宋体" w:hAnsi="宋体" w:cs="宋体"/>
          <w:b/>
          <w:bCs/>
          <w:sz w:val="32"/>
          <w:szCs w:val="32"/>
        </w:rPr>
        <w:t>（系统编号）</w:t>
      </w:r>
    </w:p>
    <w:p w14:paraId="7B8E5466">
      <w:pPr>
        <w:snapToGrid w:val="0"/>
        <w:spacing w:line="360" w:lineRule="auto"/>
        <w:jc w:val="center"/>
        <w:rPr>
          <w:rFonts w:hint="eastAsia" w:ascii="宋体" w:hAnsi="宋体" w:cs="宋体"/>
          <w:b/>
          <w:bCs/>
          <w:sz w:val="32"/>
          <w:szCs w:val="32"/>
        </w:rPr>
      </w:pPr>
      <w:r>
        <w:rPr>
          <w:rFonts w:hint="eastAsia" w:ascii="宋体" w:hAnsi="宋体" w:cs="宋体"/>
          <w:b/>
          <w:bCs/>
          <w:sz w:val="32"/>
          <w:szCs w:val="32"/>
        </w:rPr>
        <w:t>（自编号，如有）</w:t>
      </w:r>
    </w:p>
    <w:p w14:paraId="1E48CD09">
      <w:pPr>
        <w:snapToGrid w:val="0"/>
        <w:spacing w:line="360" w:lineRule="auto"/>
        <w:rPr>
          <w:rFonts w:hint="eastAsia" w:ascii="宋体" w:hAnsi="宋体" w:cs="宋体"/>
          <w:b/>
          <w:bCs/>
          <w:sz w:val="32"/>
          <w:szCs w:val="32"/>
          <w:u w:val="single"/>
        </w:rPr>
      </w:pPr>
      <w:r>
        <w:rPr>
          <w:rFonts w:hint="eastAsia" w:ascii="宋体" w:hAnsi="宋体" w:cs="宋体"/>
          <w:b/>
          <w:bCs/>
          <w:sz w:val="32"/>
          <w:szCs w:val="32"/>
        </w:rPr>
        <w:t>甲方：</w:t>
      </w:r>
      <w:r>
        <w:rPr>
          <w:rFonts w:hint="eastAsia" w:ascii="宋体" w:hAnsi="宋体" w:cs="宋体"/>
          <w:b/>
          <w:bCs/>
          <w:sz w:val="32"/>
          <w:szCs w:val="32"/>
          <w:u w:val="single"/>
        </w:rPr>
        <w:t xml:space="preserve">                </w:t>
      </w:r>
    </w:p>
    <w:p w14:paraId="69EE8F09">
      <w:pPr>
        <w:snapToGrid w:val="0"/>
        <w:spacing w:line="360" w:lineRule="auto"/>
        <w:rPr>
          <w:rFonts w:hint="eastAsia" w:ascii="宋体" w:hAnsi="宋体" w:cs="宋体"/>
          <w:b/>
          <w:bCs/>
          <w:sz w:val="32"/>
          <w:szCs w:val="32"/>
          <w:u w:val="single"/>
        </w:rPr>
      </w:pPr>
      <w:r>
        <w:rPr>
          <w:rFonts w:hint="eastAsia" w:ascii="宋体" w:hAnsi="宋体" w:cs="宋体"/>
          <w:b/>
          <w:bCs/>
          <w:sz w:val="32"/>
          <w:szCs w:val="32"/>
        </w:rPr>
        <w:t>乙方：</w:t>
      </w:r>
      <w:r>
        <w:rPr>
          <w:rFonts w:hint="eastAsia" w:ascii="宋体" w:hAnsi="宋体" w:cs="宋体"/>
          <w:b/>
          <w:bCs/>
          <w:sz w:val="32"/>
          <w:szCs w:val="32"/>
          <w:u w:val="single"/>
        </w:rPr>
        <w:t xml:space="preserve">                </w:t>
      </w:r>
    </w:p>
    <w:p w14:paraId="7FF23205">
      <w:pPr>
        <w:pStyle w:val="6"/>
        <w:tabs>
          <w:tab w:val="left" w:pos="193"/>
        </w:tabs>
        <w:spacing w:line="360" w:lineRule="auto"/>
        <w:jc w:val="center"/>
        <w:rPr>
          <w:rFonts w:hint="eastAsia" w:ascii="宋体" w:hAnsi="宋体" w:cs="宋体"/>
          <w:b/>
          <w:sz w:val="36"/>
          <w:szCs w:val="36"/>
        </w:rPr>
      </w:pPr>
      <w:r>
        <w:rPr>
          <w:rFonts w:hint="eastAsia" w:ascii="宋体" w:hAnsi="宋体" w:cs="宋体"/>
          <w:b/>
          <w:sz w:val="36"/>
          <w:szCs w:val="36"/>
        </w:rPr>
        <w:t>购 销 合 同</w:t>
      </w:r>
    </w:p>
    <w:p w14:paraId="0975DD49">
      <w:pPr>
        <w:adjustRightInd w:val="0"/>
        <w:snapToGrid w:val="0"/>
        <w:spacing w:line="360" w:lineRule="auto"/>
        <w:ind w:firstLine="480" w:firstLineChars="200"/>
        <w:jc w:val="center"/>
        <w:rPr>
          <w:rFonts w:hint="eastAsia" w:ascii="宋体" w:hAnsi="宋体" w:cs="宋体"/>
          <w:sz w:val="24"/>
        </w:rPr>
      </w:pPr>
      <w:r>
        <w:rPr>
          <w:rFonts w:hint="eastAsia" w:ascii="宋体" w:hAnsi="宋体" w:cs="宋体"/>
          <w:sz w:val="24"/>
        </w:rPr>
        <w:t>（货物类）</w:t>
      </w:r>
    </w:p>
    <w:p w14:paraId="09B6E98D">
      <w:pPr>
        <w:adjustRightInd w:val="0"/>
        <w:snapToGrid w:val="0"/>
        <w:spacing w:line="360" w:lineRule="auto"/>
        <w:ind w:right="960" w:firstLine="480" w:firstLineChars="200"/>
        <w:jc w:val="right"/>
        <w:rPr>
          <w:rFonts w:hint="eastAsia" w:ascii="宋体" w:hAnsi="宋体" w:cs="宋体"/>
          <w:sz w:val="24"/>
        </w:rPr>
      </w:pPr>
      <w:r>
        <w:rPr>
          <w:rFonts w:hint="eastAsia" w:ascii="宋体" w:hAnsi="宋体" w:cs="宋体"/>
          <w:sz w:val="24"/>
        </w:rPr>
        <w:t>合同编号：</w:t>
      </w:r>
    </w:p>
    <w:p w14:paraId="492A8A42">
      <w:pPr>
        <w:adjustRightInd w:val="0"/>
        <w:snapToGrid w:val="0"/>
        <w:spacing w:line="360" w:lineRule="auto"/>
        <w:ind w:firstLine="482" w:firstLineChars="200"/>
        <w:rPr>
          <w:rFonts w:hint="eastAsia" w:ascii="宋体" w:hAnsi="宋体" w:cs="宋体"/>
          <w:b/>
          <w:sz w:val="24"/>
        </w:rPr>
      </w:pPr>
      <w:r>
        <w:rPr>
          <w:rFonts w:hint="eastAsia" w:ascii="宋体" w:hAnsi="宋体" w:cs="宋体"/>
          <w:b/>
          <w:sz w:val="24"/>
        </w:rPr>
        <w:t>甲方：</w:t>
      </w:r>
      <w:r>
        <w:rPr>
          <w:rFonts w:ascii="宋体" w:hAnsi="宋体" w:cs="宋体"/>
          <w:b/>
          <w:sz w:val="24"/>
        </w:rPr>
        <w:t>玉溪市生态环境局</w:t>
      </w:r>
    </w:p>
    <w:p w14:paraId="0006DD1F">
      <w:pPr>
        <w:adjustRightInd w:val="0"/>
        <w:snapToGrid w:val="0"/>
        <w:spacing w:line="360" w:lineRule="auto"/>
        <w:ind w:firstLine="482" w:firstLineChars="200"/>
        <w:rPr>
          <w:rFonts w:hint="eastAsia" w:ascii="宋体" w:hAnsi="宋体" w:cs="宋体"/>
          <w:sz w:val="24"/>
        </w:rPr>
      </w:pPr>
      <w:r>
        <w:rPr>
          <w:rFonts w:hint="eastAsia" w:ascii="宋体" w:hAnsi="宋体" w:cs="宋体"/>
          <w:b/>
          <w:sz w:val="24"/>
        </w:rPr>
        <w:t>乙方 ：XXXXXX</w:t>
      </w:r>
    </w:p>
    <w:p w14:paraId="225DAB41">
      <w:pPr>
        <w:spacing w:line="360" w:lineRule="auto"/>
        <w:ind w:firstLine="480" w:firstLineChars="200"/>
        <w:rPr>
          <w:rFonts w:hint="eastAsia" w:ascii="宋体" w:hAnsi="宋体" w:cs="宋体"/>
          <w:sz w:val="24"/>
        </w:rPr>
      </w:pPr>
    </w:p>
    <w:p w14:paraId="7E7FB0E8">
      <w:pPr>
        <w:spacing w:line="360" w:lineRule="auto"/>
        <w:ind w:firstLine="480" w:firstLineChars="200"/>
        <w:rPr>
          <w:rFonts w:hint="eastAsia" w:ascii="宋体" w:hAnsi="宋体" w:cs="宋体"/>
          <w:sz w:val="24"/>
        </w:rPr>
      </w:pPr>
      <w:r>
        <w:rPr>
          <w:rFonts w:hint="eastAsia" w:ascii="宋体" w:hAnsi="宋体" w:cs="宋体"/>
          <w:sz w:val="24"/>
        </w:rPr>
        <w:t>按照《中华人民共和国政府采购法》、《中华人民共和国民法典》、《招标文件》的要求及的“</w:t>
      </w:r>
      <w:r>
        <w:rPr>
          <w:rFonts w:hint="eastAsia" w:ascii="宋体" w:hAnsi="宋体" w:cs="宋体"/>
          <w:sz w:val="24"/>
          <w:u w:val="single"/>
        </w:rPr>
        <w:t>玉溪市2026年生态环境监测能力提升项目”</w:t>
      </w:r>
      <w:r>
        <w:rPr>
          <w:rFonts w:hint="eastAsia" w:ascii="宋体" w:hAnsi="宋体" w:cs="宋体"/>
          <w:sz w:val="24"/>
        </w:rPr>
        <w:t>的公开招标结果，经甲、乙双方协商一致，本着平等互利和诚实信用的原则，在双方履行投标文件及文件澄清、修订、变更、确认函、承诺函等各项承诺的前提下，同意按下述条款签署本合同。</w:t>
      </w:r>
    </w:p>
    <w:p w14:paraId="03B2A906">
      <w:pPr>
        <w:spacing w:line="360" w:lineRule="auto"/>
        <w:ind w:firstLine="480" w:firstLineChars="200"/>
        <w:rPr>
          <w:rFonts w:hint="eastAsia" w:ascii="宋体" w:hAnsi="宋体" w:cs="宋体"/>
          <w:sz w:val="24"/>
        </w:rPr>
      </w:pPr>
      <w:r>
        <w:rPr>
          <w:rFonts w:hint="eastAsia" w:ascii="宋体" w:hAnsi="宋体" w:cs="宋体"/>
          <w:sz w:val="24"/>
        </w:rPr>
        <w:t>本合同涉及金额全部为人民币。</w:t>
      </w:r>
    </w:p>
    <w:p w14:paraId="780AFEA7">
      <w:pPr>
        <w:spacing w:line="360" w:lineRule="auto"/>
        <w:rPr>
          <w:rFonts w:hint="eastAsia" w:ascii="宋体" w:hAnsi="宋体" w:cs="宋体"/>
          <w:sz w:val="24"/>
        </w:rPr>
      </w:pPr>
    </w:p>
    <w:p w14:paraId="58D844B4">
      <w:pPr>
        <w:spacing w:line="360" w:lineRule="auto"/>
        <w:rPr>
          <w:rFonts w:hint="eastAsia" w:ascii="宋体" w:hAnsi="宋体" w:cs="宋体"/>
          <w:b/>
          <w:sz w:val="24"/>
        </w:rPr>
      </w:pPr>
      <w:r>
        <w:rPr>
          <w:rFonts w:hint="eastAsia" w:ascii="宋体" w:hAnsi="宋体" w:cs="宋体"/>
          <w:b/>
          <w:sz w:val="24"/>
        </w:rPr>
        <w:t>第一条　项目名称</w:t>
      </w:r>
    </w:p>
    <w:p w14:paraId="7BD086ED">
      <w:pPr>
        <w:spacing w:line="360" w:lineRule="auto"/>
        <w:rPr>
          <w:rFonts w:hint="eastAsia" w:ascii="宋体" w:hAnsi="宋体" w:cs="宋体"/>
          <w:sz w:val="24"/>
        </w:rPr>
      </w:pPr>
      <w:r>
        <w:rPr>
          <w:rFonts w:hint="eastAsia" w:ascii="宋体" w:hAnsi="宋体" w:cs="宋体"/>
          <w:sz w:val="24"/>
        </w:rPr>
        <w:t>项目名称：</w:t>
      </w:r>
      <w:r>
        <w:rPr>
          <w:rFonts w:hint="eastAsia" w:ascii="宋体" w:hAnsi="宋体" w:cs="宋体"/>
          <w:sz w:val="24"/>
          <w:u w:val="single"/>
        </w:rPr>
        <w:t>玉溪市2026年生态环境监测能力提升项目</w:t>
      </w:r>
    </w:p>
    <w:p w14:paraId="09D534A0">
      <w:pPr>
        <w:spacing w:line="360" w:lineRule="auto"/>
        <w:rPr>
          <w:rFonts w:hint="eastAsia" w:ascii="宋体" w:hAnsi="宋体" w:cs="宋体"/>
          <w:b/>
          <w:sz w:val="24"/>
        </w:rPr>
      </w:pPr>
      <w:r>
        <w:rPr>
          <w:rFonts w:hint="eastAsia" w:ascii="宋体" w:hAnsi="宋体" w:cs="宋体"/>
          <w:b/>
          <w:sz w:val="24"/>
        </w:rPr>
        <w:t>第二条　货物清单（价目表）</w:t>
      </w:r>
    </w:p>
    <w:tbl>
      <w:tblPr>
        <w:tblStyle w:val="23"/>
        <w:tblW w:w="0" w:type="auto"/>
        <w:jc w:val="center"/>
        <w:tblLayout w:type="fixed"/>
        <w:tblCellMar>
          <w:top w:w="0" w:type="dxa"/>
          <w:left w:w="30" w:type="dxa"/>
          <w:bottom w:w="0" w:type="dxa"/>
          <w:right w:w="30" w:type="dxa"/>
        </w:tblCellMar>
      </w:tblPr>
      <w:tblGrid>
        <w:gridCol w:w="630"/>
        <w:gridCol w:w="1575"/>
        <w:gridCol w:w="3510"/>
        <w:gridCol w:w="1260"/>
        <w:gridCol w:w="1260"/>
        <w:gridCol w:w="1365"/>
      </w:tblGrid>
      <w:tr w14:paraId="7B856184">
        <w:tblPrEx>
          <w:tblCellMar>
            <w:top w:w="0" w:type="dxa"/>
            <w:left w:w="30" w:type="dxa"/>
            <w:bottom w:w="0" w:type="dxa"/>
            <w:right w:w="30" w:type="dxa"/>
          </w:tblCellMar>
        </w:tblPrEx>
        <w:trPr>
          <w:cantSplit/>
          <w:trHeight w:val="460" w:hRule="atLeast"/>
          <w:jc w:val="center"/>
        </w:trPr>
        <w:tc>
          <w:tcPr>
            <w:tcW w:w="630" w:type="dxa"/>
            <w:tcBorders>
              <w:top w:val="single" w:color="auto" w:sz="6" w:space="0"/>
              <w:left w:val="single" w:color="auto" w:sz="6" w:space="0"/>
              <w:bottom w:val="single" w:color="auto" w:sz="6" w:space="0"/>
              <w:right w:val="single" w:color="auto" w:sz="6" w:space="0"/>
            </w:tcBorders>
            <w:shd w:val="clear" w:color="auto" w:fill="D9D9D9"/>
            <w:vAlign w:val="center"/>
          </w:tcPr>
          <w:p w14:paraId="5350A1C9">
            <w:pPr>
              <w:spacing w:line="360" w:lineRule="auto"/>
              <w:jc w:val="center"/>
              <w:rPr>
                <w:rFonts w:hint="eastAsia" w:ascii="宋体" w:hAnsi="宋体" w:cs="宋体"/>
                <w:sz w:val="24"/>
              </w:rPr>
            </w:pPr>
            <w:r>
              <w:rPr>
                <w:rFonts w:hint="eastAsia" w:ascii="宋体" w:hAnsi="宋体" w:cs="宋体"/>
                <w:sz w:val="24"/>
              </w:rPr>
              <w:t>序号</w:t>
            </w:r>
          </w:p>
        </w:tc>
        <w:tc>
          <w:tcPr>
            <w:tcW w:w="1575" w:type="dxa"/>
            <w:tcBorders>
              <w:top w:val="single" w:color="auto" w:sz="6" w:space="0"/>
              <w:left w:val="single" w:color="auto" w:sz="6" w:space="0"/>
              <w:bottom w:val="single" w:color="auto" w:sz="6" w:space="0"/>
              <w:right w:val="single" w:color="auto" w:sz="6" w:space="0"/>
            </w:tcBorders>
            <w:shd w:val="clear" w:color="auto" w:fill="D9D9D9"/>
            <w:vAlign w:val="center"/>
          </w:tcPr>
          <w:p w14:paraId="575B76AF">
            <w:pPr>
              <w:spacing w:line="360" w:lineRule="auto"/>
              <w:jc w:val="center"/>
              <w:rPr>
                <w:rFonts w:hint="eastAsia" w:ascii="宋体" w:hAnsi="宋体" w:cs="宋体"/>
                <w:sz w:val="24"/>
              </w:rPr>
            </w:pPr>
            <w:r>
              <w:rPr>
                <w:rFonts w:hint="eastAsia" w:ascii="宋体" w:hAnsi="宋体" w:cs="宋体"/>
                <w:sz w:val="24"/>
              </w:rPr>
              <w:t>项目名称</w:t>
            </w:r>
          </w:p>
        </w:tc>
        <w:tc>
          <w:tcPr>
            <w:tcW w:w="3510" w:type="dxa"/>
            <w:tcBorders>
              <w:top w:val="single" w:color="auto" w:sz="6" w:space="0"/>
              <w:left w:val="single" w:color="auto" w:sz="6" w:space="0"/>
              <w:bottom w:val="single" w:color="auto" w:sz="6" w:space="0"/>
              <w:right w:val="single" w:color="auto" w:sz="6" w:space="0"/>
            </w:tcBorders>
            <w:shd w:val="clear" w:color="auto" w:fill="D9D9D9"/>
            <w:vAlign w:val="center"/>
          </w:tcPr>
          <w:p w14:paraId="6AE4E92B">
            <w:pPr>
              <w:spacing w:line="360" w:lineRule="auto"/>
              <w:jc w:val="center"/>
              <w:rPr>
                <w:rFonts w:hint="eastAsia" w:ascii="宋体" w:hAnsi="宋体" w:cs="宋体"/>
                <w:sz w:val="24"/>
              </w:rPr>
            </w:pPr>
            <w:r>
              <w:rPr>
                <w:rFonts w:hint="eastAsia" w:ascii="宋体" w:hAnsi="宋体" w:cs="宋体"/>
                <w:sz w:val="24"/>
              </w:rPr>
              <w:t>品牌型号</w:t>
            </w:r>
          </w:p>
        </w:tc>
        <w:tc>
          <w:tcPr>
            <w:tcW w:w="1260" w:type="dxa"/>
            <w:tcBorders>
              <w:top w:val="single" w:color="auto" w:sz="6" w:space="0"/>
              <w:left w:val="single" w:color="auto" w:sz="6" w:space="0"/>
              <w:bottom w:val="single" w:color="auto" w:sz="6" w:space="0"/>
              <w:right w:val="single" w:color="auto" w:sz="6" w:space="0"/>
            </w:tcBorders>
            <w:shd w:val="clear" w:color="auto" w:fill="D9D9D9"/>
            <w:vAlign w:val="center"/>
          </w:tcPr>
          <w:p w14:paraId="6AD20F67">
            <w:pPr>
              <w:spacing w:line="360" w:lineRule="auto"/>
              <w:jc w:val="center"/>
              <w:rPr>
                <w:rFonts w:hint="eastAsia" w:ascii="宋体" w:hAnsi="宋体" w:cs="宋体"/>
                <w:sz w:val="24"/>
              </w:rPr>
            </w:pPr>
            <w:r>
              <w:rPr>
                <w:rFonts w:hint="eastAsia" w:ascii="宋体" w:hAnsi="宋体" w:cs="宋体"/>
                <w:sz w:val="24"/>
              </w:rPr>
              <w:t>数量</w:t>
            </w:r>
          </w:p>
        </w:tc>
        <w:tc>
          <w:tcPr>
            <w:tcW w:w="1260" w:type="dxa"/>
            <w:tcBorders>
              <w:top w:val="single" w:color="auto" w:sz="6" w:space="0"/>
              <w:left w:val="single" w:color="auto" w:sz="6" w:space="0"/>
              <w:bottom w:val="single" w:color="auto" w:sz="6" w:space="0"/>
              <w:right w:val="single" w:color="auto" w:sz="4" w:space="0"/>
            </w:tcBorders>
            <w:shd w:val="clear" w:color="auto" w:fill="D9D9D9"/>
            <w:vAlign w:val="center"/>
          </w:tcPr>
          <w:p w14:paraId="17A5DB21">
            <w:pPr>
              <w:spacing w:line="360" w:lineRule="auto"/>
              <w:jc w:val="center"/>
              <w:rPr>
                <w:rFonts w:hint="eastAsia" w:ascii="宋体" w:hAnsi="宋体" w:cs="宋体"/>
                <w:sz w:val="24"/>
              </w:rPr>
            </w:pPr>
            <w:r>
              <w:rPr>
                <w:rFonts w:hint="eastAsia" w:ascii="宋体" w:hAnsi="宋体" w:cs="宋体"/>
                <w:sz w:val="24"/>
              </w:rPr>
              <w:t>单价（元）</w:t>
            </w:r>
          </w:p>
        </w:tc>
        <w:tc>
          <w:tcPr>
            <w:tcW w:w="1365" w:type="dxa"/>
            <w:tcBorders>
              <w:top w:val="single" w:color="auto" w:sz="6" w:space="0"/>
              <w:left w:val="single" w:color="auto" w:sz="4" w:space="0"/>
              <w:bottom w:val="single" w:color="auto" w:sz="6" w:space="0"/>
              <w:right w:val="single" w:color="auto" w:sz="6" w:space="0"/>
            </w:tcBorders>
            <w:shd w:val="clear" w:color="auto" w:fill="D9D9D9"/>
            <w:vAlign w:val="center"/>
          </w:tcPr>
          <w:p w14:paraId="50D44C71">
            <w:pPr>
              <w:spacing w:line="360" w:lineRule="auto"/>
              <w:jc w:val="center"/>
              <w:rPr>
                <w:rFonts w:hint="eastAsia" w:ascii="宋体" w:hAnsi="宋体" w:cs="宋体"/>
                <w:sz w:val="24"/>
              </w:rPr>
            </w:pPr>
            <w:r>
              <w:rPr>
                <w:rFonts w:hint="eastAsia" w:ascii="宋体" w:hAnsi="宋体" w:cs="宋体"/>
                <w:sz w:val="24"/>
              </w:rPr>
              <w:t>总价（元）</w:t>
            </w:r>
          </w:p>
        </w:tc>
      </w:tr>
      <w:tr w14:paraId="32A8AD8D">
        <w:tblPrEx>
          <w:tblCellMar>
            <w:top w:w="0" w:type="dxa"/>
            <w:left w:w="30" w:type="dxa"/>
            <w:bottom w:w="0" w:type="dxa"/>
            <w:right w:w="30" w:type="dxa"/>
          </w:tblCellMar>
        </w:tblPrEx>
        <w:trPr>
          <w:trHeight w:val="410" w:hRule="atLeast"/>
          <w:jc w:val="center"/>
        </w:trPr>
        <w:tc>
          <w:tcPr>
            <w:tcW w:w="630" w:type="dxa"/>
            <w:tcBorders>
              <w:top w:val="single" w:color="auto" w:sz="6" w:space="0"/>
              <w:left w:val="single" w:color="auto" w:sz="6" w:space="0"/>
              <w:bottom w:val="single" w:color="auto" w:sz="4" w:space="0"/>
              <w:right w:val="single" w:color="auto" w:sz="6" w:space="0"/>
            </w:tcBorders>
            <w:vAlign w:val="center"/>
          </w:tcPr>
          <w:p w14:paraId="46FAF652">
            <w:pPr>
              <w:spacing w:line="360" w:lineRule="auto"/>
              <w:jc w:val="center"/>
              <w:rPr>
                <w:rFonts w:hint="eastAsia" w:ascii="宋体" w:hAnsi="宋体" w:cs="宋体"/>
                <w:sz w:val="24"/>
              </w:rPr>
            </w:pPr>
            <w:r>
              <w:rPr>
                <w:rFonts w:hint="eastAsia" w:ascii="宋体" w:hAnsi="宋体" w:cs="宋体"/>
                <w:sz w:val="24"/>
              </w:rPr>
              <w:t>1</w:t>
            </w:r>
          </w:p>
        </w:tc>
        <w:tc>
          <w:tcPr>
            <w:tcW w:w="1575" w:type="dxa"/>
            <w:tcBorders>
              <w:top w:val="single" w:color="auto" w:sz="6" w:space="0"/>
              <w:left w:val="single" w:color="auto" w:sz="6" w:space="0"/>
              <w:bottom w:val="single" w:color="auto" w:sz="4" w:space="0"/>
              <w:right w:val="single" w:color="auto" w:sz="6" w:space="0"/>
            </w:tcBorders>
            <w:vAlign w:val="center"/>
          </w:tcPr>
          <w:p w14:paraId="24C87AE3">
            <w:pPr>
              <w:spacing w:line="360" w:lineRule="auto"/>
              <w:rPr>
                <w:rFonts w:hint="eastAsia" w:ascii="宋体" w:hAnsi="宋体" w:cs="宋体"/>
                <w:sz w:val="24"/>
              </w:rPr>
            </w:pPr>
          </w:p>
        </w:tc>
        <w:tc>
          <w:tcPr>
            <w:tcW w:w="3510" w:type="dxa"/>
            <w:tcBorders>
              <w:top w:val="single" w:color="auto" w:sz="6" w:space="0"/>
              <w:left w:val="single" w:color="auto" w:sz="6" w:space="0"/>
              <w:bottom w:val="single" w:color="auto" w:sz="4" w:space="0"/>
              <w:right w:val="single" w:color="auto" w:sz="6" w:space="0"/>
            </w:tcBorders>
            <w:vAlign w:val="center"/>
          </w:tcPr>
          <w:p w14:paraId="3A1F1ACD">
            <w:pPr>
              <w:spacing w:line="360" w:lineRule="auto"/>
              <w:rPr>
                <w:rFonts w:hint="eastAsia" w:ascii="宋体" w:hAnsi="宋体" w:cs="宋体"/>
                <w:sz w:val="24"/>
              </w:rPr>
            </w:pPr>
          </w:p>
        </w:tc>
        <w:tc>
          <w:tcPr>
            <w:tcW w:w="1260" w:type="dxa"/>
            <w:tcBorders>
              <w:top w:val="single" w:color="auto" w:sz="6" w:space="0"/>
              <w:left w:val="single" w:color="auto" w:sz="6" w:space="0"/>
              <w:bottom w:val="single" w:color="auto" w:sz="4" w:space="0"/>
              <w:right w:val="single" w:color="auto" w:sz="6" w:space="0"/>
            </w:tcBorders>
            <w:vAlign w:val="center"/>
          </w:tcPr>
          <w:p w14:paraId="5653F720">
            <w:pPr>
              <w:spacing w:line="360" w:lineRule="auto"/>
              <w:rPr>
                <w:rFonts w:hint="eastAsia" w:ascii="宋体" w:hAnsi="宋体" w:cs="宋体"/>
                <w:sz w:val="24"/>
              </w:rPr>
            </w:pPr>
          </w:p>
        </w:tc>
        <w:tc>
          <w:tcPr>
            <w:tcW w:w="1260" w:type="dxa"/>
            <w:tcBorders>
              <w:top w:val="single" w:color="auto" w:sz="6" w:space="0"/>
              <w:left w:val="single" w:color="auto" w:sz="6" w:space="0"/>
              <w:bottom w:val="single" w:color="auto" w:sz="4" w:space="0"/>
              <w:right w:val="single" w:color="auto" w:sz="4" w:space="0"/>
            </w:tcBorders>
            <w:vAlign w:val="center"/>
          </w:tcPr>
          <w:p w14:paraId="6E3C597E">
            <w:pPr>
              <w:spacing w:line="360" w:lineRule="auto"/>
              <w:rPr>
                <w:rFonts w:hint="eastAsia" w:ascii="宋体" w:hAnsi="宋体" w:cs="宋体"/>
                <w:sz w:val="24"/>
              </w:rPr>
            </w:pPr>
          </w:p>
        </w:tc>
        <w:tc>
          <w:tcPr>
            <w:tcW w:w="1365" w:type="dxa"/>
            <w:tcBorders>
              <w:top w:val="single" w:color="auto" w:sz="6" w:space="0"/>
              <w:left w:val="single" w:color="auto" w:sz="4" w:space="0"/>
              <w:bottom w:val="single" w:color="auto" w:sz="4" w:space="0"/>
              <w:right w:val="single" w:color="auto" w:sz="6" w:space="0"/>
            </w:tcBorders>
            <w:vAlign w:val="center"/>
          </w:tcPr>
          <w:p w14:paraId="1C4232EF">
            <w:pPr>
              <w:spacing w:line="360" w:lineRule="auto"/>
              <w:rPr>
                <w:rFonts w:hint="eastAsia" w:ascii="宋体" w:hAnsi="宋体" w:cs="宋体"/>
                <w:sz w:val="24"/>
              </w:rPr>
            </w:pPr>
          </w:p>
        </w:tc>
      </w:tr>
      <w:tr w14:paraId="1C737B7E">
        <w:tblPrEx>
          <w:tblCellMar>
            <w:top w:w="0" w:type="dxa"/>
            <w:left w:w="30" w:type="dxa"/>
            <w:bottom w:w="0" w:type="dxa"/>
            <w:right w:w="30" w:type="dxa"/>
          </w:tblCellMar>
        </w:tblPrEx>
        <w:trPr>
          <w:trHeight w:val="401" w:hRule="atLeast"/>
          <w:jc w:val="center"/>
        </w:trPr>
        <w:tc>
          <w:tcPr>
            <w:tcW w:w="630" w:type="dxa"/>
            <w:tcBorders>
              <w:top w:val="single" w:color="auto" w:sz="4" w:space="0"/>
              <w:left w:val="single" w:color="auto" w:sz="6" w:space="0"/>
              <w:bottom w:val="single" w:color="auto" w:sz="4" w:space="0"/>
              <w:right w:val="single" w:color="auto" w:sz="6" w:space="0"/>
            </w:tcBorders>
            <w:vAlign w:val="center"/>
          </w:tcPr>
          <w:p w14:paraId="0C16D2F1">
            <w:pPr>
              <w:spacing w:line="360" w:lineRule="auto"/>
              <w:jc w:val="center"/>
              <w:rPr>
                <w:rFonts w:hint="eastAsia" w:ascii="宋体" w:hAnsi="宋体" w:cs="宋体"/>
                <w:sz w:val="24"/>
              </w:rPr>
            </w:pPr>
            <w:r>
              <w:rPr>
                <w:rFonts w:hint="eastAsia" w:ascii="宋体" w:hAnsi="宋体" w:cs="宋体"/>
                <w:sz w:val="24"/>
              </w:rPr>
              <w:t>2</w:t>
            </w:r>
          </w:p>
        </w:tc>
        <w:tc>
          <w:tcPr>
            <w:tcW w:w="1575" w:type="dxa"/>
            <w:tcBorders>
              <w:top w:val="single" w:color="auto" w:sz="4" w:space="0"/>
              <w:left w:val="single" w:color="auto" w:sz="6" w:space="0"/>
              <w:bottom w:val="single" w:color="auto" w:sz="4" w:space="0"/>
              <w:right w:val="single" w:color="auto" w:sz="6" w:space="0"/>
            </w:tcBorders>
            <w:vAlign w:val="center"/>
          </w:tcPr>
          <w:p w14:paraId="62A71D6C">
            <w:pPr>
              <w:spacing w:line="360" w:lineRule="auto"/>
              <w:rPr>
                <w:rFonts w:hint="eastAsia" w:ascii="宋体" w:hAnsi="宋体" w:cs="宋体"/>
                <w:sz w:val="24"/>
              </w:rPr>
            </w:pPr>
          </w:p>
        </w:tc>
        <w:tc>
          <w:tcPr>
            <w:tcW w:w="3510" w:type="dxa"/>
            <w:tcBorders>
              <w:top w:val="single" w:color="auto" w:sz="4" w:space="0"/>
              <w:left w:val="single" w:color="auto" w:sz="6" w:space="0"/>
              <w:bottom w:val="single" w:color="auto" w:sz="4" w:space="0"/>
              <w:right w:val="single" w:color="auto" w:sz="6" w:space="0"/>
            </w:tcBorders>
            <w:vAlign w:val="center"/>
          </w:tcPr>
          <w:p w14:paraId="4020A914">
            <w:pPr>
              <w:spacing w:line="360" w:lineRule="auto"/>
              <w:rPr>
                <w:rFonts w:hint="eastAsia" w:ascii="宋体" w:hAnsi="宋体" w:cs="宋体"/>
                <w:sz w:val="24"/>
              </w:rPr>
            </w:pPr>
          </w:p>
        </w:tc>
        <w:tc>
          <w:tcPr>
            <w:tcW w:w="1260" w:type="dxa"/>
            <w:tcBorders>
              <w:top w:val="single" w:color="auto" w:sz="4" w:space="0"/>
              <w:left w:val="single" w:color="auto" w:sz="6" w:space="0"/>
              <w:bottom w:val="single" w:color="auto" w:sz="4" w:space="0"/>
              <w:right w:val="single" w:color="auto" w:sz="6" w:space="0"/>
            </w:tcBorders>
            <w:vAlign w:val="center"/>
          </w:tcPr>
          <w:p w14:paraId="40032CDF">
            <w:pPr>
              <w:spacing w:line="360" w:lineRule="auto"/>
              <w:rPr>
                <w:rFonts w:hint="eastAsia" w:ascii="宋体" w:hAnsi="宋体" w:cs="宋体"/>
                <w:sz w:val="24"/>
              </w:rPr>
            </w:pPr>
          </w:p>
        </w:tc>
        <w:tc>
          <w:tcPr>
            <w:tcW w:w="1260" w:type="dxa"/>
            <w:tcBorders>
              <w:top w:val="single" w:color="auto" w:sz="4" w:space="0"/>
              <w:left w:val="single" w:color="auto" w:sz="6" w:space="0"/>
              <w:bottom w:val="single" w:color="auto" w:sz="4" w:space="0"/>
              <w:right w:val="single" w:color="auto" w:sz="4" w:space="0"/>
            </w:tcBorders>
            <w:vAlign w:val="center"/>
          </w:tcPr>
          <w:p w14:paraId="54DD4139">
            <w:pPr>
              <w:spacing w:line="360" w:lineRule="auto"/>
              <w:rPr>
                <w:rFonts w:hint="eastAsia" w:ascii="宋体" w:hAnsi="宋体" w:cs="宋体"/>
                <w:sz w:val="24"/>
              </w:rPr>
            </w:pPr>
          </w:p>
        </w:tc>
        <w:tc>
          <w:tcPr>
            <w:tcW w:w="1365" w:type="dxa"/>
            <w:tcBorders>
              <w:top w:val="single" w:color="auto" w:sz="4" w:space="0"/>
              <w:left w:val="single" w:color="auto" w:sz="4" w:space="0"/>
              <w:bottom w:val="single" w:color="auto" w:sz="4" w:space="0"/>
              <w:right w:val="single" w:color="auto" w:sz="6" w:space="0"/>
            </w:tcBorders>
            <w:vAlign w:val="center"/>
          </w:tcPr>
          <w:p w14:paraId="471C1C38">
            <w:pPr>
              <w:spacing w:line="360" w:lineRule="auto"/>
              <w:rPr>
                <w:rFonts w:hint="eastAsia" w:ascii="宋体" w:hAnsi="宋体" w:cs="宋体"/>
                <w:sz w:val="24"/>
              </w:rPr>
            </w:pPr>
          </w:p>
        </w:tc>
      </w:tr>
      <w:tr w14:paraId="26D16D80">
        <w:tblPrEx>
          <w:tblCellMar>
            <w:top w:w="0" w:type="dxa"/>
            <w:left w:w="30" w:type="dxa"/>
            <w:bottom w:w="0" w:type="dxa"/>
            <w:right w:w="30" w:type="dxa"/>
          </w:tblCellMar>
        </w:tblPrEx>
        <w:trPr>
          <w:trHeight w:val="375" w:hRule="atLeast"/>
          <w:jc w:val="center"/>
        </w:trPr>
        <w:tc>
          <w:tcPr>
            <w:tcW w:w="630" w:type="dxa"/>
            <w:tcBorders>
              <w:top w:val="single" w:color="auto" w:sz="4" w:space="0"/>
              <w:left w:val="single" w:color="auto" w:sz="6" w:space="0"/>
              <w:bottom w:val="single" w:color="auto" w:sz="6" w:space="0"/>
              <w:right w:val="single" w:color="auto" w:sz="6" w:space="0"/>
            </w:tcBorders>
            <w:vAlign w:val="center"/>
          </w:tcPr>
          <w:p w14:paraId="155560E0">
            <w:pPr>
              <w:spacing w:line="360" w:lineRule="auto"/>
              <w:jc w:val="center"/>
              <w:rPr>
                <w:rFonts w:hint="eastAsia" w:ascii="宋体" w:hAnsi="宋体" w:cs="宋体"/>
                <w:sz w:val="24"/>
              </w:rPr>
            </w:pPr>
            <w:r>
              <w:rPr>
                <w:rFonts w:hint="eastAsia" w:ascii="宋体" w:hAnsi="宋体" w:cs="宋体"/>
                <w:sz w:val="24"/>
              </w:rPr>
              <w:t>3</w:t>
            </w:r>
          </w:p>
        </w:tc>
        <w:tc>
          <w:tcPr>
            <w:tcW w:w="1575" w:type="dxa"/>
            <w:tcBorders>
              <w:top w:val="single" w:color="auto" w:sz="4" w:space="0"/>
              <w:left w:val="single" w:color="auto" w:sz="6" w:space="0"/>
              <w:bottom w:val="single" w:color="auto" w:sz="6" w:space="0"/>
              <w:right w:val="single" w:color="auto" w:sz="6" w:space="0"/>
            </w:tcBorders>
            <w:vAlign w:val="center"/>
          </w:tcPr>
          <w:p w14:paraId="07722B86">
            <w:pPr>
              <w:spacing w:line="360" w:lineRule="auto"/>
              <w:rPr>
                <w:rFonts w:hint="eastAsia" w:ascii="宋体" w:hAnsi="宋体" w:cs="宋体"/>
                <w:sz w:val="24"/>
              </w:rPr>
            </w:pPr>
          </w:p>
        </w:tc>
        <w:tc>
          <w:tcPr>
            <w:tcW w:w="3510" w:type="dxa"/>
            <w:tcBorders>
              <w:top w:val="single" w:color="auto" w:sz="4" w:space="0"/>
              <w:left w:val="single" w:color="auto" w:sz="6" w:space="0"/>
              <w:bottom w:val="single" w:color="auto" w:sz="6" w:space="0"/>
              <w:right w:val="single" w:color="auto" w:sz="6" w:space="0"/>
            </w:tcBorders>
            <w:vAlign w:val="center"/>
          </w:tcPr>
          <w:p w14:paraId="41FC655B">
            <w:pPr>
              <w:spacing w:line="360" w:lineRule="auto"/>
              <w:rPr>
                <w:rFonts w:hint="eastAsia" w:ascii="宋体" w:hAnsi="宋体" w:cs="宋体"/>
                <w:sz w:val="24"/>
              </w:rPr>
            </w:pPr>
          </w:p>
        </w:tc>
        <w:tc>
          <w:tcPr>
            <w:tcW w:w="1260" w:type="dxa"/>
            <w:tcBorders>
              <w:top w:val="single" w:color="auto" w:sz="4" w:space="0"/>
              <w:left w:val="single" w:color="auto" w:sz="6" w:space="0"/>
              <w:bottom w:val="single" w:color="auto" w:sz="6" w:space="0"/>
              <w:right w:val="single" w:color="auto" w:sz="6" w:space="0"/>
            </w:tcBorders>
            <w:vAlign w:val="center"/>
          </w:tcPr>
          <w:p w14:paraId="0AC93E4F">
            <w:pPr>
              <w:spacing w:line="360" w:lineRule="auto"/>
              <w:rPr>
                <w:rFonts w:hint="eastAsia" w:ascii="宋体" w:hAnsi="宋体" w:cs="宋体"/>
                <w:sz w:val="24"/>
              </w:rPr>
            </w:pPr>
          </w:p>
        </w:tc>
        <w:tc>
          <w:tcPr>
            <w:tcW w:w="1260" w:type="dxa"/>
            <w:tcBorders>
              <w:top w:val="single" w:color="auto" w:sz="4" w:space="0"/>
              <w:left w:val="single" w:color="auto" w:sz="6" w:space="0"/>
              <w:bottom w:val="single" w:color="auto" w:sz="6" w:space="0"/>
              <w:right w:val="single" w:color="auto" w:sz="4" w:space="0"/>
            </w:tcBorders>
            <w:vAlign w:val="center"/>
          </w:tcPr>
          <w:p w14:paraId="656825E7">
            <w:pPr>
              <w:spacing w:line="360" w:lineRule="auto"/>
              <w:rPr>
                <w:rFonts w:hint="eastAsia" w:ascii="宋体" w:hAnsi="宋体" w:cs="宋体"/>
                <w:sz w:val="24"/>
              </w:rPr>
            </w:pPr>
          </w:p>
        </w:tc>
        <w:tc>
          <w:tcPr>
            <w:tcW w:w="1365" w:type="dxa"/>
            <w:tcBorders>
              <w:top w:val="single" w:color="auto" w:sz="4" w:space="0"/>
              <w:left w:val="single" w:color="auto" w:sz="4" w:space="0"/>
              <w:bottom w:val="single" w:color="auto" w:sz="6" w:space="0"/>
              <w:right w:val="single" w:color="auto" w:sz="6" w:space="0"/>
            </w:tcBorders>
            <w:vAlign w:val="center"/>
          </w:tcPr>
          <w:p w14:paraId="6782FA83">
            <w:pPr>
              <w:spacing w:line="360" w:lineRule="auto"/>
              <w:rPr>
                <w:rFonts w:hint="eastAsia" w:ascii="宋体" w:hAnsi="宋体" w:cs="宋体"/>
                <w:sz w:val="24"/>
              </w:rPr>
            </w:pPr>
          </w:p>
        </w:tc>
      </w:tr>
      <w:tr w14:paraId="1F1F9772">
        <w:tblPrEx>
          <w:tblCellMar>
            <w:top w:w="0" w:type="dxa"/>
            <w:left w:w="30" w:type="dxa"/>
            <w:bottom w:w="0" w:type="dxa"/>
            <w:right w:w="30" w:type="dxa"/>
          </w:tblCellMar>
        </w:tblPrEx>
        <w:trPr>
          <w:trHeight w:val="340" w:hRule="atLeast"/>
          <w:jc w:val="center"/>
        </w:trPr>
        <w:tc>
          <w:tcPr>
            <w:tcW w:w="9600" w:type="dxa"/>
            <w:gridSpan w:val="6"/>
            <w:tcBorders>
              <w:top w:val="single" w:color="auto" w:sz="6" w:space="0"/>
              <w:left w:val="single" w:color="auto" w:sz="6" w:space="0"/>
              <w:bottom w:val="single" w:color="auto" w:sz="6" w:space="0"/>
              <w:right w:val="single" w:color="auto" w:sz="6" w:space="0"/>
            </w:tcBorders>
            <w:vAlign w:val="center"/>
          </w:tcPr>
          <w:p w14:paraId="4B628F48">
            <w:pPr>
              <w:spacing w:line="360" w:lineRule="auto"/>
              <w:rPr>
                <w:rFonts w:hint="eastAsia" w:ascii="宋体" w:hAnsi="宋体" w:cs="宋体"/>
                <w:sz w:val="24"/>
              </w:rPr>
            </w:pPr>
            <w:r>
              <w:rPr>
                <w:rFonts w:hint="eastAsia" w:ascii="宋体" w:hAnsi="宋体" w:cs="宋体"/>
                <w:sz w:val="24"/>
              </w:rPr>
              <w:t xml:space="preserve">以上合计：人民币（大写）：           元整   小写：￥         </w:t>
            </w:r>
          </w:p>
        </w:tc>
      </w:tr>
      <w:tr w14:paraId="5103D96F">
        <w:tblPrEx>
          <w:tblCellMar>
            <w:top w:w="0" w:type="dxa"/>
            <w:left w:w="30" w:type="dxa"/>
            <w:bottom w:w="0" w:type="dxa"/>
            <w:right w:w="30" w:type="dxa"/>
          </w:tblCellMar>
        </w:tblPrEx>
        <w:trPr>
          <w:trHeight w:val="340" w:hRule="atLeast"/>
          <w:jc w:val="center"/>
        </w:trPr>
        <w:tc>
          <w:tcPr>
            <w:tcW w:w="9600" w:type="dxa"/>
            <w:gridSpan w:val="6"/>
            <w:tcBorders>
              <w:top w:val="single" w:color="auto" w:sz="6" w:space="0"/>
              <w:left w:val="single" w:color="auto" w:sz="6" w:space="0"/>
              <w:bottom w:val="single" w:color="auto" w:sz="6" w:space="0"/>
              <w:right w:val="single" w:color="auto" w:sz="6" w:space="0"/>
            </w:tcBorders>
            <w:vAlign w:val="center"/>
          </w:tcPr>
          <w:p w14:paraId="1A01C589">
            <w:pPr>
              <w:spacing w:line="360" w:lineRule="auto"/>
              <w:rPr>
                <w:rFonts w:hint="eastAsia" w:ascii="宋体" w:hAnsi="宋体" w:cs="宋体"/>
                <w:sz w:val="24"/>
              </w:rPr>
            </w:pPr>
            <w:r>
              <w:rPr>
                <w:rFonts w:hint="eastAsia" w:ascii="宋体" w:hAnsi="宋体" w:cs="宋体"/>
                <w:sz w:val="24"/>
              </w:rPr>
              <w:t xml:space="preserve">备注： </w:t>
            </w:r>
          </w:p>
        </w:tc>
      </w:tr>
      <w:tr w14:paraId="3FFE4EF0">
        <w:tblPrEx>
          <w:tblCellMar>
            <w:top w:w="0" w:type="dxa"/>
            <w:left w:w="30" w:type="dxa"/>
            <w:bottom w:w="0" w:type="dxa"/>
            <w:right w:w="30" w:type="dxa"/>
          </w:tblCellMar>
        </w:tblPrEx>
        <w:trPr>
          <w:trHeight w:val="340" w:hRule="atLeast"/>
          <w:jc w:val="center"/>
        </w:trPr>
        <w:tc>
          <w:tcPr>
            <w:tcW w:w="9600" w:type="dxa"/>
            <w:gridSpan w:val="6"/>
            <w:tcBorders>
              <w:top w:val="single" w:color="auto" w:sz="6" w:space="0"/>
              <w:left w:val="single" w:color="auto" w:sz="6" w:space="0"/>
              <w:bottom w:val="single" w:color="auto" w:sz="6" w:space="0"/>
              <w:right w:val="single" w:color="auto" w:sz="6" w:space="0"/>
            </w:tcBorders>
            <w:vAlign w:val="center"/>
          </w:tcPr>
          <w:p w14:paraId="1BB947CD">
            <w:pPr>
              <w:spacing w:line="360" w:lineRule="auto"/>
              <w:rPr>
                <w:rFonts w:hint="eastAsia" w:ascii="宋体" w:hAnsi="宋体" w:cs="宋体"/>
                <w:sz w:val="24"/>
              </w:rPr>
            </w:pPr>
            <w:r>
              <w:rPr>
                <w:rFonts w:hint="eastAsia" w:ascii="宋体" w:hAnsi="宋体" w:cs="宋体"/>
                <w:sz w:val="24"/>
              </w:rPr>
              <w:t>说明：</w:t>
            </w:r>
          </w:p>
          <w:p w14:paraId="2E043A19">
            <w:pPr>
              <w:spacing w:line="360" w:lineRule="auto"/>
              <w:rPr>
                <w:rFonts w:hint="eastAsia" w:ascii="宋体" w:hAnsi="宋体" w:cs="宋体"/>
                <w:sz w:val="24"/>
              </w:rPr>
            </w:pPr>
            <w:r>
              <w:rPr>
                <w:rFonts w:hint="eastAsia" w:ascii="宋体" w:hAnsi="宋体" w:cs="宋体"/>
                <w:sz w:val="24"/>
              </w:rPr>
              <w:t>1.供货清单价目表详见本合同附件。</w:t>
            </w:r>
          </w:p>
          <w:p w14:paraId="73359484">
            <w:pPr>
              <w:spacing w:line="360" w:lineRule="auto"/>
              <w:rPr>
                <w:rFonts w:hint="eastAsia" w:ascii="宋体" w:hAnsi="宋体" w:cs="宋体"/>
                <w:sz w:val="24"/>
              </w:rPr>
            </w:pPr>
            <w:r>
              <w:rPr>
                <w:rFonts w:hint="eastAsia" w:ascii="宋体" w:hAnsi="宋体" w:cs="宋体"/>
                <w:sz w:val="24"/>
              </w:rPr>
              <w:t>2.售后服务承诺详见本合同附件。</w:t>
            </w:r>
          </w:p>
          <w:p w14:paraId="698F7813">
            <w:pPr>
              <w:spacing w:line="360" w:lineRule="auto"/>
              <w:rPr>
                <w:rFonts w:hint="eastAsia" w:ascii="宋体" w:hAnsi="宋体" w:cs="宋体"/>
                <w:sz w:val="24"/>
              </w:rPr>
            </w:pPr>
            <w:r>
              <w:rPr>
                <w:rFonts w:hint="eastAsia" w:ascii="宋体" w:hAnsi="宋体" w:cs="宋体"/>
                <w:sz w:val="24"/>
              </w:rPr>
              <w:t>3.加盖骑缝章。</w:t>
            </w:r>
          </w:p>
        </w:tc>
      </w:tr>
    </w:tbl>
    <w:p w14:paraId="1A272575">
      <w:pPr>
        <w:spacing w:line="360" w:lineRule="auto"/>
        <w:rPr>
          <w:rFonts w:hint="eastAsia" w:ascii="宋体" w:hAnsi="宋体" w:cs="宋体"/>
          <w:sz w:val="24"/>
        </w:rPr>
      </w:pPr>
    </w:p>
    <w:p w14:paraId="6AD4ABEE">
      <w:pPr>
        <w:spacing w:line="360" w:lineRule="auto"/>
        <w:rPr>
          <w:rFonts w:hint="eastAsia" w:ascii="宋体" w:hAnsi="宋体" w:cs="宋体"/>
          <w:b/>
          <w:sz w:val="24"/>
        </w:rPr>
      </w:pPr>
      <w:r>
        <w:rPr>
          <w:rFonts w:hint="eastAsia" w:ascii="宋体" w:hAnsi="宋体" w:cs="宋体"/>
          <w:b/>
          <w:sz w:val="24"/>
        </w:rPr>
        <w:t>第三条　项目标的主要内容及要求</w:t>
      </w:r>
    </w:p>
    <w:p w14:paraId="7BD4ACAA">
      <w:pPr>
        <w:spacing w:line="360" w:lineRule="auto"/>
        <w:ind w:firstLine="480" w:firstLineChars="200"/>
        <w:rPr>
          <w:rFonts w:hint="eastAsia" w:ascii="宋体" w:hAnsi="宋体" w:cs="宋体"/>
          <w:sz w:val="24"/>
        </w:rPr>
      </w:pPr>
      <w:r>
        <w:rPr>
          <w:rFonts w:hint="eastAsia" w:ascii="宋体" w:hAnsi="宋体" w:cs="宋体"/>
          <w:sz w:val="24"/>
        </w:rPr>
        <w:t>见招标文件及乙方投标文件</w:t>
      </w:r>
    </w:p>
    <w:p w14:paraId="28F0E27B">
      <w:pPr>
        <w:spacing w:line="360" w:lineRule="auto"/>
        <w:rPr>
          <w:rFonts w:hint="eastAsia" w:ascii="宋体" w:hAnsi="宋体" w:cs="宋体"/>
          <w:sz w:val="24"/>
        </w:rPr>
      </w:pPr>
    </w:p>
    <w:p w14:paraId="3C2D51BD">
      <w:pPr>
        <w:spacing w:line="360" w:lineRule="auto"/>
        <w:rPr>
          <w:rFonts w:hint="eastAsia" w:ascii="宋体" w:hAnsi="宋体" w:cs="宋体"/>
          <w:b/>
          <w:sz w:val="24"/>
        </w:rPr>
      </w:pPr>
      <w:r>
        <w:rPr>
          <w:rFonts w:hint="eastAsia" w:ascii="宋体" w:hAnsi="宋体" w:cs="宋体"/>
          <w:b/>
          <w:sz w:val="24"/>
        </w:rPr>
        <w:t>第四条　合同金额</w:t>
      </w:r>
    </w:p>
    <w:p w14:paraId="31A59D52">
      <w:pPr>
        <w:spacing w:line="360" w:lineRule="auto"/>
        <w:ind w:firstLine="480" w:firstLineChars="200"/>
        <w:rPr>
          <w:rFonts w:hint="eastAsia" w:ascii="宋体" w:hAnsi="宋体" w:cs="宋体"/>
          <w:sz w:val="24"/>
          <w:u w:val="single"/>
        </w:rPr>
      </w:pPr>
      <w:r>
        <w:rPr>
          <w:rFonts w:hint="eastAsia" w:ascii="宋体" w:hAnsi="宋体" w:cs="宋体"/>
          <w:sz w:val="24"/>
        </w:rPr>
        <w:t>合同总额 人民币:大写</w:t>
      </w:r>
      <w:r>
        <w:rPr>
          <w:rFonts w:hint="eastAsia" w:ascii="宋体" w:hAnsi="宋体" w:cs="宋体"/>
          <w:sz w:val="24"/>
          <w:u w:val="single"/>
        </w:rPr>
        <w:t xml:space="preserve">         </w:t>
      </w:r>
      <w:r>
        <w:rPr>
          <w:rFonts w:hint="eastAsia" w:ascii="宋体" w:hAnsi="宋体" w:cs="宋体"/>
          <w:sz w:val="24"/>
        </w:rPr>
        <w:t>元整   小写：￥</w:t>
      </w:r>
      <w:r>
        <w:rPr>
          <w:rFonts w:hint="eastAsia" w:ascii="宋体" w:hAnsi="宋体" w:cs="宋体"/>
          <w:sz w:val="24"/>
          <w:u w:val="single"/>
        </w:rPr>
        <w:t xml:space="preserve">         </w:t>
      </w:r>
    </w:p>
    <w:p w14:paraId="39912E94">
      <w:pPr>
        <w:spacing w:line="360" w:lineRule="auto"/>
        <w:ind w:firstLine="480" w:firstLineChars="200"/>
        <w:rPr>
          <w:rFonts w:hint="eastAsia" w:ascii="宋体" w:hAnsi="宋体" w:cs="宋体"/>
          <w:sz w:val="24"/>
        </w:rPr>
      </w:pPr>
      <w:r>
        <w:rPr>
          <w:rFonts w:hint="eastAsia" w:ascii="宋体" w:hAnsi="宋体" w:cs="宋体"/>
          <w:sz w:val="24"/>
        </w:rPr>
        <w:t>合同总额包括货物及零配件的购置和安装、运输、保险、装卸、培训辅导、质保期售后服务、全额含税发票及合同实施过程中的不可预见费用等。</w:t>
      </w:r>
    </w:p>
    <w:p w14:paraId="11B4AACD">
      <w:pPr>
        <w:spacing w:line="360" w:lineRule="auto"/>
        <w:rPr>
          <w:rFonts w:hint="eastAsia" w:ascii="宋体" w:hAnsi="宋体" w:cs="宋体"/>
          <w:sz w:val="24"/>
        </w:rPr>
      </w:pPr>
      <w:r>
        <w:rPr>
          <w:rFonts w:hint="eastAsia" w:ascii="宋体" w:hAnsi="宋体" w:cs="宋体"/>
          <w:sz w:val="24"/>
        </w:rPr>
        <w:t>价格为固定不变价，天数为日历日。</w:t>
      </w:r>
    </w:p>
    <w:p w14:paraId="5B093571">
      <w:pPr>
        <w:spacing w:line="360" w:lineRule="auto"/>
        <w:rPr>
          <w:rFonts w:hint="eastAsia" w:ascii="宋体" w:hAnsi="宋体" w:cs="宋体"/>
          <w:b/>
          <w:sz w:val="24"/>
        </w:rPr>
      </w:pPr>
      <w:r>
        <w:rPr>
          <w:rFonts w:hint="eastAsia" w:ascii="宋体" w:hAnsi="宋体" w:cs="宋体"/>
          <w:b/>
          <w:sz w:val="24"/>
        </w:rPr>
        <w:t>第五条　付款</w:t>
      </w:r>
    </w:p>
    <w:p w14:paraId="0B540805">
      <w:pPr>
        <w:spacing w:line="360" w:lineRule="auto"/>
        <w:rPr>
          <w:rFonts w:hint="eastAsia" w:ascii="宋体" w:hAnsi="宋体" w:cs="宋体"/>
          <w:sz w:val="24"/>
        </w:rPr>
      </w:pPr>
      <w:r>
        <w:rPr>
          <w:rFonts w:hint="eastAsia" w:ascii="宋体" w:hAnsi="宋体" w:cs="宋体"/>
          <w:sz w:val="24"/>
        </w:rPr>
        <w:t>付款方式：</w:t>
      </w:r>
    </w:p>
    <w:p w14:paraId="31C464BC">
      <w:pPr>
        <w:spacing w:line="360" w:lineRule="auto"/>
        <w:rPr>
          <w:rFonts w:hint="eastAsia" w:ascii="宋体" w:hAnsi="宋体" w:cs="宋体"/>
          <w:b/>
          <w:bCs/>
          <w:sz w:val="24"/>
        </w:rPr>
      </w:pPr>
      <w:r>
        <w:rPr>
          <w:rFonts w:hint="eastAsia" w:ascii="宋体" w:hAnsi="宋体" w:cs="宋体"/>
          <w:b/>
          <w:bCs/>
          <w:sz w:val="24"/>
        </w:rPr>
        <w:t>乙方收款账户如下：</w:t>
      </w:r>
    </w:p>
    <w:p w14:paraId="56594D9F">
      <w:pPr>
        <w:spacing w:line="360" w:lineRule="auto"/>
        <w:ind w:firstLine="482" w:firstLineChars="200"/>
        <w:rPr>
          <w:rFonts w:hint="eastAsia" w:ascii="宋体" w:hAnsi="宋体" w:cs="宋体"/>
          <w:b/>
          <w:bCs/>
          <w:sz w:val="24"/>
        </w:rPr>
      </w:pPr>
      <w:r>
        <w:rPr>
          <w:rFonts w:hint="eastAsia" w:ascii="宋体" w:hAnsi="宋体" w:cs="宋体"/>
          <w:b/>
          <w:bCs/>
          <w:sz w:val="24"/>
        </w:rPr>
        <w:t xml:space="preserve">开户名称： </w:t>
      </w:r>
    </w:p>
    <w:p w14:paraId="3B03B7FC">
      <w:pPr>
        <w:spacing w:line="360" w:lineRule="auto"/>
        <w:ind w:firstLine="482" w:firstLineChars="200"/>
        <w:rPr>
          <w:rFonts w:hint="eastAsia" w:ascii="宋体" w:hAnsi="宋体" w:cs="宋体"/>
          <w:b/>
          <w:bCs/>
          <w:sz w:val="24"/>
        </w:rPr>
      </w:pPr>
      <w:r>
        <w:rPr>
          <w:rFonts w:hint="eastAsia" w:ascii="宋体" w:hAnsi="宋体" w:cs="宋体"/>
          <w:b/>
          <w:bCs/>
          <w:sz w:val="24"/>
        </w:rPr>
        <w:t xml:space="preserve">开户银行： </w:t>
      </w:r>
    </w:p>
    <w:p w14:paraId="18B6159E">
      <w:pPr>
        <w:spacing w:line="360" w:lineRule="auto"/>
        <w:ind w:firstLine="482" w:firstLineChars="200"/>
        <w:rPr>
          <w:rFonts w:hint="eastAsia" w:ascii="宋体" w:hAnsi="宋体" w:cs="宋体"/>
          <w:b/>
          <w:bCs/>
          <w:sz w:val="24"/>
        </w:rPr>
      </w:pPr>
      <w:r>
        <w:rPr>
          <w:rFonts w:hint="eastAsia" w:ascii="宋体" w:hAnsi="宋体" w:cs="宋体"/>
          <w:b/>
          <w:bCs/>
          <w:sz w:val="24"/>
        </w:rPr>
        <w:t>银行账号：</w:t>
      </w:r>
    </w:p>
    <w:p w14:paraId="1C68046D">
      <w:pPr>
        <w:spacing w:line="360" w:lineRule="auto"/>
        <w:rPr>
          <w:rFonts w:hint="eastAsia" w:ascii="宋体" w:hAnsi="宋体" w:cs="宋体"/>
          <w:sz w:val="24"/>
        </w:rPr>
      </w:pPr>
    </w:p>
    <w:p w14:paraId="5D7E7BA6">
      <w:pPr>
        <w:spacing w:line="360" w:lineRule="auto"/>
        <w:rPr>
          <w:rFonts w:hint="eastAsia" w:ascii="宋体" w:hAnsi="宋体" w:cs="宋体"/>
          <w:sz w:val="24"/>
        </w:rPr>
      </w:pPr>
      <w:r>
        <w:rPr>
          <w:rFonts w:hint="eastAsia" w:ascii="宋体" w:hAnsi="宋体" w:cs="宋体"/>
          <w:b/>
          <w:sz w:val="24"/>
        </w:rPr>
        <w:t>第六条　交付时间、地点</w:t>
      </w:r>
    </w:p>
    <w:p w14:paraId="585A7608">
      <w:pPr>
        <w:spacing w:line="360" w:lineRule="auto"/>
        <w:ind w:firstLine="480" w:firstLineChars="200"/>
        <w:rPr>
          <w:rFonts w:hint="eastAsia" w:ascii="宋体" w:hAnsi="宋体" w:cs="宋体"/>
          <w:sz w:val="24"/>
        </w:rPr>
      </w:pPr>
      <w:r>
        <w:rPr>
          <w:rFonts w:hint="eastAsia" w:ascii="宋体" w:hAnsi="宋体" w:cs="宋体"/>
          <w:sz w:val="24"/>
        </w:rPr>
        <w:t xml:space="preserve">交货地点：甲方所在地 </w:t>
      </w:r>
      <w:r>
        <w:rPr>
          <w:rFonts w:hint="eastAsia" w:ascii="宋体" w:hAnsi="宋体" w:cs="宋体"/>
          <w:sz w:val="24"/>
          <w:u w:val="single"/>
        </w:rPr>
        <w:t xml:space="preserve">         </w:t>
      </w:r>
      <w:r>
        <w:rPr>
          <w:rFonts w:hint="eastAsia" w:ascii="宋体" w:hAnsi="宋体" w:cs="宋体"/>
          <w:sz w:val="24"/>
        </w:rPr>
        <w:t xml:space="preserve"> </w:t>
      </w:r>
    </w:p>
    <w:p w14:paraId="216EEBDF">
      <w:pPr>
        <w:spacing w:line="360" w:lineRule="auto"/>
        <w:ind w:firstLine="480" w:firstLineChars="200"/>
        <w:rPr>
          <w:rFonts w:hint="eastAsia" w:ascii="宋体" w:hAnsi="宋体" w:cs="宋体"/>
          <w:sz w:val="24"/>
        </w:rPr>
      </w:pPr>
      <w:r>
        <w:rPr>
          <w:rFonts w:hint="eastAsia" w:ascii="宋体" w:hAnsi="宋体" w:cs="宋体"/>
          <w:sz w:val="24"/>
        </w:rPr>
        <w:t xml:space="preserve">设备场地：甲方负责准备符合设备安装的场地，乙方予以设计指导。 </w:t>
      </w:r>
    </w:p>
    <w:p w14:paraId="375B911F">
      <w:pPr>
        <w:spacing w:line="360" w:lineRule="auto"/>
        <w:ind w:firstLine="480" w:firstLineChars="200"/>
        <w:rPr>
          <w:rFonts w:hint="eastAsia" w:ascii="宋体" w:hAnsi="宋体" w:cs="宋体"/>
          <w:sz w:val="24"/>
        </w:rPr>
      </w:pPr>
      <w:r>
        <w:rPr>
          <w:rFonts w:hint="eastAsia" w:ascii="宋体" w:hAnsi="宋体" w:cs="宋体"/>
          <w:sz w:val="24"/>
        </w:rPr>
        <w:t>交货期限：合同生效后</w:t>
      </w:r>
      <w:r>
        <w:rPr>
          <w:rFonts w:hint="eastAsia" w:ascii="宋体" w:hAnsi="宋体" w:cs="宋体"/>
          <w:sz w:val="24"/>
          <w:u w:val="single"/>
        </w:rPr>
        <w:t xml:space="preserve">    </w:t>
      </w:r>
      <w:r>
        <w:rPr>
          <w:rFonts w:hint="eastAsia" w:ascii="宋体" w:hAnsi="宋体" w:cs="宋体"/>
          <w:sz w:val="24"/>
        </w:rPr>
        <w:t>天。</w:t>
      </w:r>
    </w:p>
    <w:p w14:paraId="4EDB1433">
      <w:pPr>
        <w:spacing w:line="360" w:lineRule="auto"/>
        <w:rPr>
          <w:rFonts w:hint="eastAsia" w:ascii="宋体" w:hAnsi="宋体" w:cs="宋体"/>
          <w:sz w:val="24"/>
        </w:rPr>
      </w:pPr>
    </w:p>
    <w:p w14:paraId="45A2BC5F">
      <w:pPr>
        <w:spacing w:line="360" w:lineRule="auto"/>
        <w:rPr>
          <w:rFonts w:hint="eastAsia" w:ascii="宋体" w:hAnsi="宋体" w:cs="宋体"/>
          <w:b/>
          <w:sz w:val="24"/>
        </w:rPr>
      </w:pPr>
      <w:r>
        <w:rPr>
          <w:rFonts w:hint="eastAsia" w:ascii="宋体" w:hAnsi="宋体" w:cs="宋体"/>
          <w:b/>
          <w:sz w:val="24"/>
        </w:rPr>
        <w:t>第七条　验收标准、验收方式、验收要求以及培训验收报告。</w:t>
      </w:r>
    </w:p>
    <w:p w14:paraId="0F216C2B">
      <w:pPr>
        <w:spacing w:line="360" w:lineRule="auto"/>
        <w:ind w:firstLine="480" w:firstLineChars="200"/>
        <w:rPr>
          <w:rFonts w:hint="eastAsia" w:ascii="宋体" w:hAnsi="宋体" w:cs="宋体"/>
          <w:sz w:val="24"/>
        </w:rPr>
      </w:pPr>
      <w:r>
        <w:rPr>
          <w:rFonts w:hint="eastAsia" w:ascii="宋体" w:hAnsi="宋体" w:cs="宋体"/>
          <w:sz w:val="24"/>
        </w:rPr>
        <w:t>无污染，无侵权行为、表面无划损、无任何缺陷隐患，在中国交付验收标准：乙方指派具有相关合法资质的专业人员，并提供性能符合规定的设备、工具，按照相关操作规程，负责货到现场的安装调试。所有设备应参照本合同约定的技术性能标准和参数进行验收，本合同没有约定此标准的，按照招投标文件的标准，甲乙双方综合验收并出具验收报告。</w:t>
      </w:r>
    </w:p>
    <w:p w14:paraId="103F776E">
      <w:pPr>
        <w:spacing w:line="360" w:lineRule="auto"/>
        <w:ind w:firstLine="480" w:firstLineChars="200"/>
        <w:rPr>
          <w:rFonts w:hint="eastAsia" w:ascii="宋体" w:hAnsi="宋体" w:cs="宋体"/>
          <w:sz w:val="24"/>
        </w:rPr>
      </w:pPr>
      <w:r>
        <w:rPr>
          <w:rFonts w:hint="eastAsia" w:ascii="宋体" w:hAnsi="宋体" w:cs="宋体"/>
          <w:sz w:val="24"/>
        </w:rPr>
        <w:t>在设备商检前，甲方不得自行拆装、调试或使用。</w:t>
      </w:r>
    </w:p>
    <w:p w14:paraId="6DD56736">
      <w:pPr>
        <w:spacing w:line="360" w:lineRule="auto"/>
        <w:ind w:firstLine="480" w:firstLineChars="200"/>
        <w:rPr>
          <w:rFonts w:hint="eastAsia" w:ascii="宋体" w:hAnsi="宋体" w:cs="宋体"/>
          <w:sz w:val="24"/>
        </w:rPr>
      </w:pPr>
      <w:r>
        <w:rPr>
          <w:rFonts w:hint="eastAsia" w:ascii="宋体" w:hAnsi="宋体" w:cs="宋体"/>
          <w:sz w:val="24"/>
        </w:rPr>
        <w:t>货物为全新合格产品，整无污染，无侵权行为、表面无划损、无任何缺陷隐患，在中国境内可依常规安全合法使用。</w:t>
      </w:r>
    </w:p>
    <w:p w14:paraId="2EE581EC">
      <w:pPr>
        <w:spacing w:line="360" w:lineRule="auto"/>
        <w:ind w:firstLine="480" w:firstLineChars="200"/>
        <w:rPr>
          <w:rFonts w:hint="eastAsia" w:ascii="宋体" w:hAnsi="宋体" w:cs="宋体"/>
          <w:sz w:val="24"/>
        </w:rPr>
      </w:pPr>
      <w:r>
        <w:rPr>
          <w:rFonts w:hint="eastAsia" w:ascii="宋体" w:hAnsi="宋体" w:cs="宋体"/>
          <w:sz w:val="24"/>
        </w:rPr>
        <w:t>包装标准为原厂制造商未启封全新包装，具有出厂合格证，序列号，包装箱号与出厂批号一致，并可追索查阅。所有随设备的附件（装箱清单、用户手册、原厂保修卡、合格证、必备品、配件、工具、报关单等）必须齐全。</w:t>
      </w:r>
    </w:p>
    <w:p w14:paraId="35B60597">
      <w:pPr>
        <w:spacing w:line="360" w:lineRule="auto"/>
        <w:ind w:firstLine="480" w:firstLineChars="200"/>
        <w:rPr>
          <w:rFonts w:hint="eastAsia" w:ascii="宋体" w:hAnsi="宋体" w:cs="宋体"/>
          <w:sz w:val="24"/>
        </w:rPr>
      </w:pPr>
      <w:r>
        <w:rPr>
          <w:rFonts w:hint="eastAsia" w:ascii="宋体" w:hAnsi="宋体" w:cs="宋体"/>
          <w:sz w:val="24"/>
        </w:rPr>
        <w:t>货物运至甲方后，甲方只对货物进行数量和外包装的初步验收。设备安装调试后，乙方应向甲方提供详细的验收标准、验收手册、验收申请，甲方有权委托中国有资格的单位对上述设备进行验收及精度校核。</w:t>
      </w:r>
    </w:p>
    <w:p w14:paraId="230136F1">
      <w:pPr>
        <w:spacing w:line="360" w:lineRule="auto"/>
        <w:ind w:firstLine="480" w:firstLineChars="200"/>
        <w:rPr>
          <w:rFonts w:hint="eastAsia" w:ascii="宋体" w:hAnsi="宋体" w:cs="宋体"/>
          <w:sz w:val="24"/>
        </w:rPr>
      </w:pPr>
      <w:r>
        <w:rPr>
          <w:rFonts w:hint="eastAsia" w:ascii="宋体" w:hAnsi="宋体" w:cs="宋体"/>
          <w:sz w:val="24"/>
        </w:rPr>
        <w:t>为确保甲方能够进行日常操作及维护保养，设备安装验收后，乙方为甲方提供如下学习培训，承担相关费用：</w:t>
      </w:r>
    </w:p>
    <w:p w14:paraId="00A5812A">
      <w:pPr>
        <w:spacing w:line="360" w:lineRule="auto"/>
        <w:ind w:firstLine="480" w:firstLineChars="200"/>
        <w:rPr>
          <w:rFonts w:hint="eastAsia" w:ascii="宋体" w:hAnsi="宋体" w:cs="宋体"/>
          <w:sz w:val="24"/>
          <w:u w:val="single"/>
        </w:rPr>
      </w:pPr>
      <w:r>
        <w:rPr>
          <w:rFonts w:hint="eastAsia" w:ascii="宋体" w:hAnsi="宋体" w:cs="宋体"/>
          <w:sz w:val="24"/>
        </w:rPr>
        <w:t>A.</w:t>
      </w:r>
      <w:r>
        <w:rPr>
          <w:rFonts w:hint="eastAsia" w:ascii="宋体" w:hAnsi="宋体" w:cs="宋体"/>
          <w:sz w:val="24"/>
          <w:u w:val="single"/>
        </w:rPr>
        <w:t xml:space="preserve">             </w:t>
      </w:r>
    </w:p>
    <w:p w14:paraId="6858D1EA">
      <w:pPr>
        <w:spacing w:line="360" w:lineRule="auto"/>
        <w:ind w:firstLine="480" w:firstLineChars="200"/>
        <w:rPr>
          <w:rFonts w:hint="eastAsia" w:ascii="宋体" w:hAnsi="宋体" w:cs="宋体"/>
          <w:sz w:val="24"/>
          <w:u w:val="single"/>
        </w:rPr>
      </w:pPr>
      <w:r>
        <w:rPr>
          <w:rFonts w:hint="eastAsia" w:ascii="宋体" w:hAnsi="宋体" w:cs="宋体"/>
          <w:sz w:val="24"/>
        </w:rPr>
        <w:t xml:space="preserve">B. </w:t>
      </w:r>
      <w:r>
        <w:rPr>
          <w:rFonts w:hint="eastAsia" w:ascii="宋体" w:hAnsi="宋体" w:cs="宋体"/>
          <w:sz w:val="24"/>
          <w:u w:val="single"/>
        </w:rPr>
        <w:t xml:space="preserve">            </w:t>
      </w:r>
    </w:p>
    <w:p w14:paraId="3279FDEA">
      <w:pPr>
        <w:spacing w:line="360" w:lineRule="auto"/>
        <w:ind w:firstLine="480" w:firstLineChars="200"/>
        <w:rPr>
          <w:rFonts w:hint="eastAsia" w:ascii="宋体" w:hAnsi="宋体" w:cs="宋体"/>
          <w:sz w:val="24"/>
        </w:rPr>
      </w:pPr>
    </w:p>
    <w:p w14:paraId="0D0EBB46">
      <w:pPr>
        <w:spacing w:line="360" w:lineRule="auto"/>
        <w:rPr>
          <w:rFonts w:hint="eastAsia" w:ascii="宋体" w:hAnsi="宋体" w:cs="宋体"/>
          <w:b/>
          <w:sz w:val="24"/>
        </w:rPr>
      </w:pPr>
      <w:r>
        <w:rPr>
          <w:rFonts w:hint="eastAsia" w:ascii="宋体" w:hAnsi="宋体" w:cs="宋体"/>
          <w:b/>
          <w:sz w:val="24"/>
        </w:rPr>
        <w:t>第八条　制作与交付</w:t>
      </w:r>
    </w:p>
    <w:p w14:paraId="093327ED">
      <w:pPr>
        <w:spacing w:line="360" w:lineRule="auto"/>
        <w:ind w:firstLine="480" w:firstLineChars="200"/>
        <w:rPr>
          <w:rFonts w:hint="eastAsia" w:ascii="宋体" w:hAnsi="宋体" w:cs="宋体"/>
          <w:sz w:val="24"/>
        </w:rPr>
      </w:pPr>
      <w:r>
        <w:rPr>
          <w:rFonts w:hint="eastAsia" w:ascii="宋体" w:hAnsi="宋体" w:cs="宋体"/>
          <w:sz w:val="24"/>
        </w:rPr>
        <w:t>1.在符合招标文件要求和响应承诺的前提下，将货物制作与交付至最佳状态且双方均认为满意。</w:t>
      </w:r>
    </w:p>
    <w:p w14:paraId="0A8F6B1E">
      <w:pPr>
        <w:spacing w:line="360" w:lineRule="auto"/>
        <w:ind w:firstLine="480" w:firstLineChars="200"/>
        <w:rPr>
          <w:rFonts w:hint="eastAsia" w:ascii="宋体" w:hAnsi="宋体" w:cs="宋体"/>
          <w:sz w:val="24"/>
        </w:rPr>
      </w:pPr>
      <w:r>
        <w:rPr>
          <w:rFonts w:hint="eastAsia" w:ascii="宋体" w:hAnsi="宋体" w:cs="宋体"/>
          <w:sz w:val="24"/>
        </w:rPr>
        <w:t>2. 配置清单（供货价目清单）详见本合同附件。</w:t>
      </w:r>
    </w:p>
    <w:p w14:paraId="3B0D2455">
      <w:pPr>
        <w:spacing w:line="360" w:lineRule="auto"/>
        <w:rPr>
          <w:rFonts w:hint="eastAsia" w:ascii="宋体" w:hAnsi="宋体" w:cs="宋体"/>
          <w:sz w:val="24"/>
        </w:rPr>
      </w:pPr>
    </w:p>
    <w:p w14:paraId="0237A0D5">
      <w:pPr>
        <w:spacing w:line="360" w:lineRule="auto"/>
        <w:rPr>
          <w:rFonts w:hint="eastAsia" w:ascii="宋体" w:hAnsi="宋体" w:cs="宋体"/>
          <w:sz w:val="24"/>
        </w:rPr>
      </w:pPr>
      <w:r>
        <w:rPr>
          <w:rFonts w:hint="eastAsia" w:ascii="宋体" w:hAnsi="宋体" w:cs="宋体"/>
          <w:b/>
          <w:sz w:val="24"/>
        </w:rPr>
        <w:t>第九条　质保期及售后服务要求</w:t>
      </w:r>
      <w:r>
        <w:rPr>
          <w:rFonts w:hint="eastAsia" w:ascii="宋体" w:hAnsi="宋体" w:cs="宋体"/>
          <w:sz w:val="24"/>
        </w:rPr>
        <w:t>（详见附件——售后服务承诺书）</w:t>
      </w:r>
    </w:p>
    <w:p w14:paraId="2B21B797">
      <w:pPr>
        <w:spacing w:line="360" w:lineRule="auto"/>
        <w:ind w:firstLine="480" w:firstLineChars="200"/>
        <w:rPr>
          <w:rFonts w:hint="eastAsia" w:ascii="宋体" w:hAnsi="宋体" w:cs="宋体"/>
          <w:sz w:val="24"/>
        </w:rPr>
      </w:pPr>
      <w:r>
        <w:rPr>
          <w:rFonts w:hint="eastAsia" w:ascii="宋体" w:hAnsi="宋体" w:cs="宋体"/>
          <w:sz w:val="24"/>
        </w:rPr>
        <w:t>1.整及所有附件（含第三方产品）质保</w:t>
      </w:r>
      <w:r>
        <w:rPr>
          <w:rFonts w:hint="eastAsia" w:ascii="宋体" w:hAnsi="宋体" w:cs="宋体"/>
          <w:sz w:val="24"/>
          <w:u w:val="single"/>
        </w:rPr>
        <w:t xml:space="preserve">    </w:t>
      </w:r>
      <w:r>
        <w:rPr>
          <w:rFonts w:hint="eastAsia" w:ascii="宋体" w:hAnsi="宋体" w:cs="宋体"/>
          <w:sz w:val="24"/>
        </w:rPr>
        <w:t>年。</w:t>
      </w:r>
    </w:p>
    <w:p w14:paraId="478CD5C7">
      <w:pPr>
        <w:spacing w:line="360" w:lineRule="auto"/>
        <w:ind w:firstLine="480" w:firstLineChars="200"/>
        <w:rPr>
          <w:rFonts w:hint="eastAsia" w:ascii="宋体" w:hAnsi="宋体" w:cs="宋体"/>
          <w:sz w:val="24"/>
        </w:rPr>
      </w:pPr>
      <w:r>
        <w:rPr>
          <w:rFonts w:hint="eastAsia" w:ascii="宋体" w:hAnsi="宋体" w:cs="宋体"/>
          <w:sz w:val="24"/>
        </w:rPr>
        <w:t>2.终身维护。质保期内维修保养次数</w:t>
      </w:r>
      <w:r>
        <w:rPr>
          <w:rFonts w:hint="eastAsia" w:ascii="宋体" w:hAnsi="宋体" w:cs="宋体"/>
          <w:sz w:val="24"/>
          <w:u w:val="single"/>
        </w:rPr>
        <w:t xml:space="preserve">     </w:t>
      </w:r>
      <w:r>
        <w:rPr>
          <w:rFonts w:hint="eastAsia" w:ascii="宋体" w:hAnsi="宋体" w:cs="宋体"/>
          <w:sz w:val="24"/>
        </w:rPr>
        <w:t>次/年。质保期外，根据维修服务标注条款进行维修服务。响应时间</w:t>
      </w:r>
      <w:r>
        <w:rPr>
          <w:rFonts w:hint="eastAsia" w:ascii="宋体" w:hAnsi="宋体" w:cs="宋体"/>
          <w:sz w:val="24"/>
          <w:u w:val="single"/>
        </w:rPr>
        <w:t xml:space="preserve">      </w:t>
      </w:r>
      <w:r>
        <w:rPr>
          <w:rFonts w:hint="eastAsia" w:ascii="宋体" w:hAnsi="宋体" w:cs="宋体"/>
          <w:sz w:val="24"/>
        </w:rPr>
        <w:t>小时，</w:t>
      </w:r>
      <w:r>
        <w:rPr>
          <w:rFonts w:hint="eastAsia" w:ascii="宋体" w:hAnsi="宋体" w:cs="宋体"/>
          <w:sz w:val="24"/>
          <w:u w:val="single"/>
        </w:rPr>
        <w:t xml:space="preserve">      </w:t>
      </w:r>
      <w:r>
        <w:rPr>
          <w:rFonts w:hint="eastAsia" w:ascii="宋体" w:hAnsi="宋体" w:cs="宋体"/>
          <w:sz w:val="24"/>
        </w:rPr>
        <w:t>小时内有专业人员到达现场维修。</w:t>
      </w:r>
    </w:p>
    <w:p w14:paraId="00F20D70">
      <w:pPr>
        <w:spacing w:line="360" w:lineRule="auto"/>
        <w:ind w:firstLine="480" w:firstLineChars="200"/>
        <w:rPr>
          <w:rFonts w:hint="eastAsia" w:ascii="宋体" w:hAnsi="宋体" w:cs="宋体"/>
          <w:sz w:val="24"/>
        </w:rPr>
      </w:pPr>
      <w:r>
        <w:rPr>
          <w:rFonts w:hint="eastAsia" w:ascii="宋体" w:hAnsi="宋体" w:cs="宋体"/>
          <w:sz w:val="24"/>
        </w:rPr>
        <w:t xml:space="preserve">3…… </w:t>
      </w:r>
    </w:p>
    <w:p w14:paraId="60FA2281">
      <w:pPr>
        <w:spacing w:line="360" w:lineRule="auto"/>
        <w:rPr>
          <w:rFonts w:hint="eastAsia" w:ascii="宋体" w:hAnsi="宋体" w:cs="宋体"/>
          <w:sz w:val="24"/>
        </w:rPr>
      </w:pPr>
    </w:p>
    <w:p w14:paraId="770A9E21">
      <w:pPr>
        <w:spacing w:line="360" w:lineRule="auto"/>
        <w:rPr>
          <w:rFonts w:hint="eastAsia" w:ascii="宋体" w:hAnsi="宋体" w:cs="宋体"/>
          <w:b/>
          <w:sz w:val="24"/>
        </w:rPr>
      </w:pPr>
      <w:r>
        <w:rPr>
          <w:rFonts w:hint="eastAsia" w:ascii="宋体" w:hAnsi="宋体" w:cs="宋体"/>
          <w:b/>
          <w:sz w:val="24"/>
        </w:rPr>
        <w:t>第十条 双方权利义务</w:t>
      </w:r>
    </w:p>
    <w:p w14:paraId="6D615989">
      <w:pPr>
        <w:spacing w:line="360" w:lineRule="auto"/>
        <w:ind w:firstLine="480" w:firstLineChars="200"/>
        <w:rPr>
          <w:rFonts w:hint="eastAsia" w:ascii="宋体" w:hAnsi="宋体" w:cs="宋体"/>
          <w:sz w:val="24"/>
        </w:rPr>
      </w:pPr>
      <w:r>
        <w:rPr>
          <w:rFonts w:hint="eastAsia" w:ascii="宋体" w:hAnsi="宋体" w:cs="宋体"/>
          <w:sz w:val="24"/>
        </w:rPr>
        <w:t>1.未经甲方书面同意，乙方不得擅自向第三方转让其应履行的合同项下的义务。</w:t>
      </w:r>
    </w:p>
    <w:p w14:paraId="4AB4DF38">
      <w:pPr>
        <w:spacing w:line="360" w:lineRule="auto"/>
        <w:ind w:firstLine="480" w:firstLineChars="200"/>
        <w:rPr>
          <w:rFonts w:hint="eastAsia" w:ascii="宋体" w:hAnsi="宋体" w:cs="宋体"/>
          <w:sz w:val="24"/>
        </w:rPr>
      </w:pPr>
      <w:r>
        <w:rPr>
          <w:rFonts w:hint="eastAsia" w:ascii="宋体" w:hAnsi="宋体" w:cs="宋体"/>
          <w:sz w:val="24"/>
        </w:rPr>
        <w:t>2.乙方应在签订本合同时提供设备配置清单、厂家或供应商售后服务承诺书等资料内容。</w:t>
      </w:r>
    </w:p>
    <w:p w14:paraId="17E44A54">
      <w:pPr>
        <w:spacing w:line="360" w:lineRule="auto"/>
        <w:ind w:firstLine="480" w:firstLineChars="200"/>
        <w:rPr>
          <w:rFonts w:hint="eastAsia" w:ascii="宋体" w:hAnsi="宋体" w:cs="宋体"/>
          <w:sz w:val="24"/>
        </w:rPr>
      </w:pPr>
      <w:r>
        <w:rPr>
          <w:rFonts w:hint="eastAsia" w:ascii="宋体" w:hAnsi="宋体" w:cs="宋体"/>
          <w:sz w:val="24"/>
        </w:rPr>
        <w:t>3.乙方保证甲方在使用设备期间（有配套软件的包括软件产品）不受第三方提出侵犯其专利权、商标权、工业设计权等全部权利的起诉。若出现，由乙方承担全部责任。</w:t>
      </w:r>
    </w:p>
    <w:p w14:paraId="2C0429F8">
      <w:pPr>
        <w:spacing w:line="360" w:lineRule="auto"/>
        <w:ind w:firstLine="480" w:firstLineChars="200"/>
        <w:rPr>
          <w:rFonts w:hint="eastAsia" w:ascii="宋体" w:hAnsi="宋体" w:cs="宋体"/>
          <w:sz w:val="24"/>
        </w:rPr>
      </w:pPr>
      <w:r>
        <w:rPr>
          <w:rFonts w:hint="eastAsia" w:ascii="宋体" w:hAnsi="宋体" w:cs="宋体"/>
          <w:sz w:val="24"/>
        </w:rPr>
        <w:t>4.甲乙双方应对本合同内容严加保密，在未经对方事先书面同意的情况下，不得将与本合同有关的信息、数据、资料等内容向任何人披露或为其自身利益而使用。在本合同到期或终止后，甲乙双方仍须履行该保密义务。</w:t>
      </w:r>
    </w:p>
    <w:p w14:paraId="36CAE470">
      <w:pPr>
        <w:spacing w:line="360" w:lineRule="auto"/>
        <w:rPr>
          <w:rFonts w:hint="eastAsia" w:ascii="宋体" w:hAnsi="宋体" w:cs="宋体"/>
          <w:sz w:val="24"/>
        </w:rPr>
      </w:pPr>
    </w:p>
    <w:p w14:paraId="20AA7242">
      <w:pPr>
        <w:spacing w:line="360" w:lineRule="auto"/>
        <w:rPr>
          <w:rFonts w:hint="eastAsia" w:ascii="宋体" w:hAnsi="宋体" w:cs="宋体"/>
          <w:b/>
          <w:sz w:val="24"/>
        </w:rPr>
      </w:pPr>
      <w:r>
        <w:rPr>
          <w:rFonts w:hint="eastAsia" w:ascii="宋体" w:hAnsi="宋体" w:cs="宋体"/>
          <w:b/>
          <w:sz w:val="24"/>
        </w:rPr>
        <w:t>第十一条 违约责任</w:t>
      </w:r>
    </w:p>
    <w:p w14:paraId="45EE1216">
      <w:pPr>
        <w:spacing w:line="360" w:lineRule="auto"/>
        <w:ind w:firstLine="480" w:firstLineChars="200"/>
        <w:rPr>
          <w:rFonts w:hint="eastAsia" w:ascii="宋体" w:hAnsi="宋体" w:cs="宋体"/>
          <w:sz w:val="24"/>
        </w:rPr>
      </w:pPr>
      <w:r>
        <w:rPr>
          <w:rFonts w:hint="eastAsia" w:ascii="宋体" w:hAnsi="宋体" w:cs="宋体"/>
          <w:sz w:val="24"/>
        </w:rPr>
        <w:t>乙方交付的设备、货物或提供的服务，甲方只有在不符合招标文件、投标文件或本合同规定的情况下才有权拒收，并且乙方须向甲方支付本合同总价</w:t>
      </w:r>
      <w:r>
        <w:rPr>
          <w:rFonts w:hint="eastAsia" w:ascii="宋体" w:hAnsi="宋体" w:cs="宋体"/>
          <w:sz w:val="24"/>
          <w:u w:val="single"/>
        </w:rPr>
        <w:t xml:space="preserve">   </w:t>
      </w:r>
      <w:r>
        <w:rPr>
          <w:rFonts w:hint="eastAsia" w:ascii="宋体" w:hAnsi="宋体" w:cs="宋体"/>
          <w:sz w:val="24"/>
        </w:rPr>
        <w:t>%的违约金并赔偿甲方全部损失。若无上述原因，甲方无权拒收；若甲方因非上述原因拒收，甲方须向乙方支付本合同总价</w:t>
      </w:r>
      <w:r>
        <w:rPr>
          <w:rFonts w:hint="eastAsia" w:ascii="宋体" w:hAnsi="宋体" w:cs="宋体"/>
          <w:sz w:val="24"/>
          <w:u w:val="single"/>
        </w:rPr>
        <w:t xml:space="preserve">   </w:t>
      </w:r>
      <w:r>
        <w:rPr>
          <w:rFonts w:hint="eastAsia" w:ascii="宋体" w:hAnsi="宋体" w:cs="宋体"/>
          <w:sz w:val="24"/>
        </w:rPr>
        <w:t>%的违约金并赔偿乙方全部损失。</w:t>
      </w:r>
    </w:p>
    <w:p w14:paraId="5938B41A">
      <w:pPr>
        <w:spacing w:line="360" w:lineRule="auto"/>
        <w:ind w:firstLine="480" w:firstLineChars="200"/>
        <w:rPr>
          <w:rFonts w:hint="eastAsia" w:ascii="宋体" w:hAnsi="宋体" w:cs="宋体"/>
          <w:sz w:val="24"/>
        </w:rPr>
      </w:pPr>
      <w:r>
        <w:rPr>
          <w:rFonts w:hint="eastAsia" w:ascii="宋体" w:hAnsi="宋体" w:cs="宋体"/>
          <w:sz w:val="24"/>
        </w:rPr>
        <w:t>乙方延迟履行合同，逾期交付货物的，从逾期之日起每日按合同总额的</w:t>
      </w:r>
      <w:r>
        <w:rPr>
          <w:rFonts w:hint="eastAsia" w:ascii="宋体" w:hAnsi="宋体" w:cs="宋体"/>
          <w:sz w:val="24"/>
          <w:u w:val="single"/>
        </w:rPr>
        <w:t xml:space="preserve">    </w:t>
      </w:r>
      <w:r>
        <w:rPr>
          <w:rFonts w:hint="eastAsia" w:ascii="宋体" w:hAnsi="宋体" w:cs="宋体"/>
          <w:sz w:val="24"/>
        </w:rPr>
        <w:t>%向甲方支付违约金，最高限额为合同总价格的</w:t>
      </w:r>
      <w:r>
        <w:rPr>
          <w:rFonts w:hint="eastAsia" w:ascii="宋体" w:hAnsi="宋体" w:cs="宋体"/>
          <w:sz w:val="24"/>
          <w:u w:val="single"/>
        </w:rPr>
        <w:t xml:space="preserve">   </w:t>
      </w:r>
      <w:r>
        <w:rPr>
          <w:rFonts w:hint="eastAsia" w:ascii="宋体" w:hAnsi="宋体" w:cs="宋体"/>
          <w:sz w:val="24"/>
        </w:rPr>
        <w:t>%。但因设备场地不符合安装要求的，乙方延期交货，则不承担上述违约责任。</w:t>
      </w:r>
    </w:p>
    <w:p w14:paraId="6F6228AD">
      <w:pPr>
        <w:spacing w:line="360" w:lineRule="auto"/>
        <w:ind w:firstLine="480" w:firstLineChars="200"/>
        <w:rPr>
          <w:rFonts w:hint="eastAsia" w:ascii="宋体" w:hAnsi="宋体" w:cs="宋体"/>
          <w:sz w:val="24"/>
        </w:rPr>
      </w:pPr>
      <w:r>
        <w:rPr>
          <w:rFonts w:hint="eastAsia" w:ascii="宋体" w:hAnsi="宋体" w:cs="宋体"/>
          <w:sz w:val="24"/>
        </w:rPr>
        <w:t>如甲乙双方未按本合同第十条第四款约定履行保密义务，违约方须向守约方赔偿本合同总价</w:t>
      </w:r>
      <w:r>
        <w:rPr>
          <w:rFonts w:hint="eastAsia" w:ascii="宋体" w:hAnsi="宋体" w:cs="宋体"/>
          <w:sz w:val="24"/>
          <w:u w:val="single"/>
        </w:rPr>
        <w:t xml:space="preserve">    </w:t>
      </w:r>
      <w:r>
        <w:rPr>
          <w:rFonts w:hint="eastAsia" w:ascii="宋体" w:hAnsi="宋体" w:cs="宋体"/>
          <w:sz w:val="24"/>
        </w:rPr>
        <w:t>%的违约金。因泄密引发的纠纷、事故及损失，由违约方全部承担。</w:t>
      </w:r>
    </w:p>
    <w:p w14:paraId="23BF6FE2">
      <w:pPr>
        <w:spacing w:line="360" w:lineRule="auto"/>
        <w:rPr>
          <w:rFonts w:hint="eastAsia" w:ascii="宋体" w:hAnsi="宋体" w:cs="宋体"/>
          <w:sz w:val="24"/>
        </w:rPr>
      </w:pPr>
      <w:r>
        <w:rPr>
          <w:rFonts w:hint="eastAsia" w:ascii="宋体" w:hAnsi="宋体" w:cs="宋体"/>
          <w:sz w:val="24"/>
        </w:rPr>
        <w:t>其它违约责任按《中华人民共和国民法典》处理。</w:t>
      </w:r>
    </w:p>
    <w:p w14:paraId="0233EE79">
      <w:pPr>
        <w:spacing w:line="360" w:lineRule="auto"/>
        <w:rPr>
          <w:rFonts w:hint="eastAsia" w:ascii="宋体" w:hAnsi="宋体" w:cs="宋体"/>
          <w:sz w:val="24"/>
        </w:rPr>
      </w:pPr>
    </w:p>
    <w:p w14:paraId="1D50425E">
      <w:pPr>
        <w:spacing w:line="360" w:lineRule="auto"/>
        <w:rPr>
          <w:rFonts w:hint="eastAsia" w:ascii="宋体" w:hAnsi="宋体" w:cs="宋体"/>
          <w:b/>
          <w:sz w:val="24"/>
        </w:rPr>
      </w:pPr>
      <w:r>
        <w:rPr>
          <w:rFonts w:hint="eastAsia" w:ascii="宋体" w:hAnsi="宋体" w:cs="宋体"/>
          <w:b/>
          <w:sz w:val="24"/>
        </w:rPr>
        <w:t>第十二条 提出异议的时间和方法</w:t>
      </w:r>
    </w:p>
    <w:p w14:paraId="2B0EE2A6">
      <w:pPr>
        <w:spacing w:line="360" w:lineRule="auto"/>
        <w:ind w:firstLine="480" w:firstLineChars="200"/>
        <w:rPr>
          <w:rFonts w:hint="eastAsia" w:ascii="宋体" w:hAnsi="宋体" w:cs="宋体"/>
          <w:sz w:val="24"/>
        </w:rPr>
      </w:pPr>
      <w:r>
        <w:rPr>
          <w:rFonts w:hint="eastAsia" w:ascii="宋体" w:hAnsi="宋体" w:cs="宋体"/>
          <w:sz w:val="24"/>
        </w:rPr>
        <w:t>甲方在验收后90天内如对货物的型号、规格、质量有异议时，应在妥善保管货物的同时，向乙方提出书面异议，乙方在收到书面异议七天内予以答复。解决方案由甲乙双方协商一致后签署补充协议。</w:t>
      </w:r>
    </w:p>
    <w:p w14:paraId="7519C442">
      <w:pPr>
        <w:spacing w:line="360" w:lineRule="auto"/>
        <w:ind w:firstLine="480" w:firstLineChars="200"/>
        <w:rPr>
          <w:rFonts w:hint="eastAsia" w:ascii="宋体" w:hAnsi="宋体" w:cs="宋体"/>
          <w:sz w:val="24"/>
        </w:rPr>
      </w:pPr>
      <w:r>
        <w:rPr>
          <w:rFonts w:hint="eastAsia" w:ascii="宋体" w:hAnsi="宋体" w:cs="宋体"/>
          <w:sz w:val="24"/>
        </w:rPr>
        <w:t>甲方因违章操作、保管、保养不善等人为因素造成货物损毁，所提出的异议乙方有权不予接受。</w:t>
      </w:r>
    </w:p>
    <w:p w14:paraId="788AFC87">
      <w:pPr>
        <w:spacing w:line="360" w:lineRule="auto"/>
        <w:rPr>
          <w:rFonts w:hint="eastAsia" w:ascii="宋体" w:hAnsi="宋体" w:cs="宋体"/>
          <w:sz w:val="24"/>
        </w:rPr>
      </w:pPr>
    </w:p>
    <w:p w14:paraId="0706BE42">
      <w:pPr>
        <w:spacing w:line="360" w:lineRule="auto"/>
        <w:rPr>
          <w:rFonts w:hint="eastAsia" w:ascii="宋体" w:hAnsi="宋体" w:cs="宋体"/>
          <w:b/>
          <w:sz w:val="24"/>
        </w:rPr>
      </w:pPr>
      <w:r>
        <w:rPr>
          <w:rFonts w:hint="eastAsia" w:ascii="宋体" w:hAnsi="宋体" w:cs="宋体"/>
          <w:b/>
          <w:sz w:val="24"/>
        </w:rPr>
        <w:t>第十三条  通知与送达</w:t>
      </w:r>
    </w:p>
    <w:p w14:paraId="28BD9D28">
      <w:pPr>
        <w:spacing w:line="360" w:lineRule="auto"/>
        <w:ind w:firstLine="480" w:firstLineChars="200"/>
        <w:rPr>
          <w:rFonts w:hint="eastAsia" w:ascii="宋体" w:hAnsi="宋体" w:cs="宋体"/>
          <w:sz w:val="24"/>
        </w:rPr>
      </w:pPr>
      <w:r>
        <w:rPr>
          <w:rFonts w:hint="eastAsia" w:ascii="宋体" w:hAnsi="宋体" w:cs="宋体"/>
          <w:sz w:val="24"/>
        </w:rPr>
        <w:t>1.甲方通信地址及联系人：</w:t>
      </w:r>
    </w:p>
    <w:p w14:paraId="0D42BD55">
      <w:pPr>
        <w:pStyle w:val="12"/>
        <w:spacing w:line="360" w:lineRule="auto"/>
        <w:ind w:left="720"/>
        <w:rPr>
          <w:rFonts w:hint="eastAsia" w:hAnsi="宋体" w:cs="宋体"/>
          <w:sz w:val="24"/>
          <w:szCs w:val="24"/>
        </w:rPr>
      </w:pPr>
      <w:r>
        <w:rPr>
          <w:rFonts w:hint="eastAsia" w:hAnsi="宋体" w:cs="宋体"/>
          <w:sz w:val="24"/>
          <w:szCs w:val="24"/>
        </w:rPr>
        <w:t xml:space="preserve"> </w:t>
      </w:r>
    </w:p>
    <w:p w14:paraId="54662963">
      <w:pPr>
        <w:spacing w:line="360" w:lineRule="auto"/>
        <w:ind w:firstLine="480" w:firstLineChars="200"/>
        <w:rPr>
          <w:rFonts w:hint="eastAsia" w:ascii="宋体" w:hAnsi="宋体" w:cs="宋体"/>
          <w:b/>
          <w:sz w:val="24"/>
        </w:rPr>
      </w:pPr>
      <w:r>
        <w:rPr>
          <w:rFonts w:hint="eastAsia" w:ascii="宋体" w:hAnsi="宋体" w:cs="宋体"/>
          <w:sz w:val="24"/>
        </w:rPr>
        <w:t>2.乙方通信地址及联系人：</w:t>
      </w:r>
    </w:p>
    <w:p w14:paraId="6E4EAE0D">
      <w:pPr>
        <w:pStyle w:val="12"/>
        <w:spacing w:line="360" w:lineRule="auto"/>
        <w:rPr>
          <w:rFonts w:hint="eastAsia" w:hAnsi="宋体" w:cs="宋体"/>
          <w:sz w:val="24"/>
          <w:szCs w:val="24"/>
        </w:rPr>
      </w:pPr>
    </w:p>
    <w:p w14:paraId="5B7828EC">
      <w:pPr>
        <w:spacing w:line="360" w:lineRule="auto"/>
        <w:ind w:firstLine="480" w:firstLineChars="200"/>
        <w:rPr>
          <w:rFonts w:hint="eastAsia" w:ascii="宋体" w:hAnsi="宋体" w:cs="宋体"/>
          <w:sz w:val="24"/>
        </w:rPr>
      </w:pPr>
      <w:r>
        <w:rPr>
          <w:rFonts w:hint="eastAsia" w:ascii="宋体" w:hAnsi="宋体" w:cs="宋体"/>
          <w:sz w:val="24"/>
        </w:rPr>
        <w:t>3.如一方地址、电话、传真号码、开户银行及账号等资料有变更，应在变更当日内书面通知对方，否则，视为未变更。</w:t>
      </w:r>
    </w:p>
    <w:p w14:paraId="2BC6DDD9">
      <w:pPr>
        <w:spacing w:line="360" w:lineRule="auto"/>
        <w:rPr>
          <w:rFonts w:hint="eastAsia" w:ascii="宋体" w:hAnsi="宋体" w:cs="宋体"/>
          <w:b/>
          <w:bCs/>
          <w:sz w:val="24"/>
        </w:rPr>
      </w:pPr>
    </w:p>
    <w:p w14:paraId="073987D5">
      <w:pPr>
        <w:spacing w:line="360" w:lineRule="auto"/>
        <w:rPr>
          <w:rFonts w:hint="eastAsia" w:ascii="宋体" w:hAnsi="宋体" w:cs="宋体"/>
          <w:b/>
          <w:bCs/>
          <w:sz w:val="24"/>
        </w:rPr>
      </w:pPr>
      <w:r>
        <w:rPr>
          <w:rFonts w:hint="eastAsia" w:ascii="宋体" w:hAnsi="宋体" w:cs="宋体"/>
          <w:b/>
          <w:bCs/>
          <w:sz w:val="24"/>
        </w:rPr>
        <w:t xml:space="preserve">第十四条　不可抗力 </w:t>
      </w:r>
    </w:p>
    <w:p w14:paraId="451C9A1F">
      <w:pPr>
        <w:spacing w:line="360" w:lineRule="auto"/>
        <w:ind w:firstLine="480" w:firstLineChars="200"/>
        <w:rPr>
          <w:rFonts w:hint="eastAsia" w:ascii="宋体" w:hAnsi="宋体" w:cs="宋体"/>
          <w:sz w:val="24"/>
        </w:rPr>
      </w:pPr>
      <w:r>
        <w:rPr>
          <w:rFonts w:hint="eastAsia" w:ascii="宋体" w:hAnsi="宋体" w:cs="宋体"/>
          <w:sz w:val="24"/>
        </w:rPr>
        <w:t>任何一方由于不可抗力原因不能履行合同时，应在不可抗力事件发生后及时向对方通报，以减轻可能给对方造成的损失，在取得有关构的不可抗力证明或双方谅解确认后，允许延期履行或修订合同，并根据情况可部分或全部免于承担违约责任。但一方延误履约后发生不可抗力的，不能免除责任。</w:t>
      </w:r>
    </w:p>
    <w:p w14:paraId="75516363">
      <w:pPr>
        <w:spacing w:line="360" w:lineRule="auto"/>
        <w:rPr>
          <w:rFonts w:hint="eastAsia" w:ascii="宋体" w:hAnsi="宋体" w:cs="宋体"/>
          <w:b/>
          <w:bCs/>
          <w:sz w:val="24"/>
        </w:rPr>
      </w:pPr>
    </w:p>
    <w:p w14:paraId="4E5EBBC9">
      <w:pPr>
        <w:spacing w:line="360" w:lineRule="auto"/>
        <w:rPr>
          <w:rFonts w:hint="eastAsia" w:ascii="宋体" w:hAnsi="宋体" w:cs="宋体"/>
          <w:b/>
          <w:bCs/>
          <w:sz w:val="24"/>
        </w:rPr>
      </w:pPr>
      <w:r>
        <w:rPr>
          <w:rFonts w:hint="eastAsia" w:ascii="宋体" w:hAnsi="宋体" w:cs="宋体"/>
          <w:b/>
          <w:bCs/>
          <w:sz w:val="24"/>
        </w:rPr>
        <w:t>第十五条　争议的解决</w:t>
      </w:r>
    </w:p>
    <w:p w14:paraId="2356DA60">
      <w:pPr>
        <w:spacing w:line="360" w:lineRule="auto"/>
        <w:ind w:firstLine="480" w:firstLineChars="200"/>
        <w:rPr>
          <w:rFonts w:hint="eastAsia" w:ascii="宋体" w:hAnsi="宋体" w:cs="宋体"/>
          <w:sz w:val="24"/>
        </w:rPr>
      </w:pPr>
      <w:r>
        <w:rPr>
          <w:rFonts w:hint="eastAsia" w:ascii="宋体" w:hAnsi="宋体" w:cs="宋体"/>
          <w:sz w:val="24"/>
        </w:rPr>
        <w:t>1.合同履行过程中发生的任何争议，如双方未能通过友好协商解决，双方同意通过诉讼方式解决，诉讼管辖地为甲方所在地有管辖权的人民法院。</w:t>
      </w:r>
    </w:p>
    <w:p w14:paraId="56044BDF">
      <w:pPr>
        <w:spacing w:line="360" w:lineRule="auto"/>
        <w:ind w:firstLine="480" w:firstLineChars="200"/>
        <w:rPr>
          <w:rFonts w:hint="eastAsia" w:ascii="宋体" w:hAnsi="宋体" w:cs="宋体"/>
          <w:sz w:val="24"/>
        </w:rPr>
      </w:pPr>
      <w:r>
        <w:rPr>
          <w:rFonts w:hint="eastAsia" w:ascii="宋体" w:hAnsi="宋体" w:cs="宋体"/>
          <w:sz w:val="24"/>
        </w:rPr>
        <w:t>2.对货物质量的检查鉴定，由甲乙双方协议认定的第三方相关检测构进行终局鉴定，鉴定结果符合质量技术标准时，鉴定费由提出异议方承担，否则鉴定费由被异议方承担。</w:t>
      </w:r>
    </w:p>
    <w:p w14:paraId="7DDF9049">
      <w:pPr>
        <w:spacing w:line="360" w:lineRule="auto"/>
        <w:rPr>
          <w:rFonts w:hint="eastAsia" w:ascii="宋体" w:hAnsi="宋体" w:cs="宋体"/>
          <w:b/>
          <w:sz w:val="24"/>
        </w:rPr>
      </w:pPr>
      <w:r>
        <w:rPr>
          <w:rFonts w:hint="eastAsia" w:ascii="宋体" w:hAnsi="宋体" w:cs="宋体"/>
          <w:b/>
          <w:sz w:val="24"/>
        </w:rPr>
        <w:t>第十六条　其它条款</w:t>
      </w:r>
    </w:p>
    <w:p w14:paraId="04AF3E67">
      <w:pPr>
        <w:spacing w:line="360" w:lineRule="auto"/>
        <w:ind w:firstLine="480" w:firstLineChars="200"/>
        <w:rPr>
          <w:rFonts w:hint="eastAsia" w:ascii="宋体" w:hAnsi="宋体" w:cs="宋体"/>
          <w:sz w:val="24"/>
        </w:rPr>
      </w:pPr>
      <w:r>
        <w:rPr>
          <w:rFonts w:hint="eastAsia" w:ascii="宋体" w:hAnsi="宋体" w:cs="宋体"/>
          <w:sz w:val="24"/>
        </w:rPr>
        <w:t>1. 本合同在甲、乙双方法人代表或其授权代理人签字并加盖单位公章之日起生效。</w:t>
      </w:r>
    </w:p>
    <w:p w14:paraId="51F9AEE3">
      <w:pPr>
        <w:spacing w:line="360" w:lineRule="auto"/>
        <w:ind w:firstLine="480" w:firstLineChars="200"/>
        <w:rPr>
          <w:rFonts w:hint="eastAsia" w:ascii="宋体" w:hAnsi="宋体" w:cs="宋体"/>
          <w:sz w:val="24"/>
        </w:rPr>
      </w:pPr>
      <w:r>
        <w:rPr>
          <w:rFonts w:hint="eastAsia" w:ascii="宋体" w:hAnsi="宋体" w:cs="宋体"/>
          <w:sz w:val="24"/>
        </w:rPr>
        <w:t>2.本合同一式</w:t>
      </w:r>
      <w:r>
        <w:rPr>
          <w:rFonts w:hint="eastAsia" w:ascii="宋体" w:hAnsi="宋体" w:cs="宋体"/>
          <w:sz w:val="24"/>
          <w:u w:val="single"/>
        </w:rPr>
        <w:t xml:space="preserve">   </w:t>
      </w:r>
      <w:r>
        <w:rPr>
          <w:rFonts w:hint="eastAsia" w:ascii="宋体" w:hAnsi="宋体" w:cs="宋体"/>
          <w:sz w:val="24"/>
        </w:rPr>
        <w:t>份，甲方</w:t>
      </w:r>
      <w:r>
        <w:rPr>
          <w:rFonts w:hint="eastAsia" w:ascii="宋体" w:hAnsi="宋体" w:cs="宋体"/>
          <w:sz w:val="24"/>
          <w:u w:val="single"/>
        </w:rPr>
        <w:t xml:space="preserve">   </w:t>
      </w:r>
      <w:r>
        <w:rPr>
          <w:rFonts w:hint="eastAsia" w:ascii="宋体" w:hAnsi="宋体" w:cs="宋体"/>
          <w:sz w:val="24"/>
        </w:rPr>
        <w:t>份、乙方</w:t>
      </w:r>
      <w:r>
        <w:rPr>
          <w:rFonts w:hint="eastAsia" w:ascii="宋体" w:hAnsi="宋体" w:cs="宋体"/>
          <w:sz w:val="24"/>
          <w:u w:val="single"/>
        </w:rPr>
        <w:t xml:space="preserve">   </w:t>
      </w:r>
      <w:r>
        <w:rPr>
          <w:rFonts w:hint="eastAsia" w:ascii="宋体" w:hAnsi="宋体" w:cs="宋体"/>
          <w:sz w:val="24"/>
        </w:rPr>
        <w:t>份。</w:t>
      </w:r>
    </w:p>
    <w:p w14:paraId="72B72084">
      <w:pPr>
        <w:spacing w:line="360" w:lineRule="auto"/>
        <w:ind w:firstLine="480" w:firstLineChars="200"/>
        <w:rPr>
          <w:rFonts w:hint="eastAsia" w:ascii="宋体" w:hAnsi="宋体" w:cs="宋体"/>
          <w:sz w:val="24"/>
        </w:rPr>
      </w:pPr>
      <w:r>
        <w:rPr>
          <w:rFonts w:hint="eastAsia" w:ascii="宋体" w:hAnsi="宋体" w:cs="宋体"/>
          <w:sz w:val="24"/>
        </w:rPr>
        <w:t>3.所有经双方签署、确认的文件包括购销廉洁协议、配置清单、售后服务承诺书、授权委托书、补充协议及投标文件等均为本合同不可分割的有效组成部分，与本合同具有同等的法律效力和履约义务，其生效日期为签字盖章确认之日期。</w:t>
      </w:r>
    </w:p>
    <w:p w14:paraId="766750ED">
      <w:pPr>
        <w:spacing w:line="360" w:lineRule="auto"/>
        <w:ind w:firstLine="480" w:firstLineChars="200"/>
        <w:rPr>
          <w:rFonts w:hint="eastAsia" w:ascii="宋体" w:hAnsi="宋体" w:cs="宋体"/>
          <w:sz w:val="24"/>
        </w:rPr>
      </w:pPr>
      <w:r>
        <w:rPr>
          <w:rFonts w:hint="eastAsia" w:ascii="宋体" w:hAnsi="宋体" w:cs="宋体"/>
          <w:sz w:val="24"/>
        </w:rPr>
        <w:t>4.出现投标文件内容与本合同内容不一致的情况时，以本合同为准。</w:t>
      </w:r>
    </w:p>
    <w:p w14:paraId="7498805E">
      <w:pPr>
        <w:spacing w:line="360" w:lineRule="auto"/>
        <w:ind w:firstLine="480" w:firstLineChars="200"/>
        <w:rPr>
          <w:rFonts w:hint="eastAsia" w:ascii="宋体" w:hAnsi="宋体" w:cs="宋体"/>
          <w:sz w:val="24"/>
        </w:rPr>
      </w:pPr>
      <w:r>
        <w:rPr>
          <w:rFonts w:hint="eastAsia" w:ascii="宋体" w:hAnsi="宋体" w:cs="宋体"/>
          <w:sz w:val="24"/>
        </w:rPr>
        <w:t>5.本合同签约地点：</w:t>
      </w:r>
      <w:r>
        <w:rPr>
          <w:rFonts w:hint="eastAsia" w:ascii="宋体" w:hAnsi="宋体" w:cs="宋体"/>
          <w:sz w:val="24"/>
          <w:u w:val="single"/>
        </w:rPr>
        <w:t xml:space="preserve">       </w:t>
      </w:r>
      <w:r>
        <w:rPr>
          <w:rFonts w:hint="eastAsia" w:ascii="宋体" w:hAnsi="宋体" w:cs="宋体"/>
          <w:sz w:val="24"/>
        </w:rPr>
        <w:t>。</w:t>
      </w:r>
    </w:p>
    <w:p w14:paraId="1981821F">
      <w:pPr>
        <w:spacing w:line="360" w:lineRule="auto"/>
        <w:ind w:firstLine="480" w:firstLineChars="200"/>
        <w:rPr>
          <w:rFonts w:hint="eastAsia" w:ascii="宋体" w:hAnsi="宋体" w:cs="宋体"/>
          <w:b/>
          <w:sz w:val="24"/>
        </w:rPr>
      </w:pPr>
      <w:r>
        <w:rPr>
          <w:rFonts w:hint="eastAsia" w:ascii="宋体" w:hAnsi="宋体" w:cs="宋体"/>
          <w:sz w:val="24"/>
        </w:rPr>
        <w:t>6.双方均已对以上各条款及附件作充分了解，并明确理解由此而产生的相关权责。</w:t>
      </w:r>
    </w:p>
    <w:p w14:paraId="1869AF5D">
      <w:pPr>
        <w:spacing w:line="360" w:lineRule="auto"/>
        <w:rPr>
          <w:rFonts w:hint="eastAsia" w:ascii="宋体" w:hAnsi="宋体" w:cs="宋体"/>
          <w:b/>
          <w:sz w:val="24"/>
        </w:rPr>
      </w:pPr>
      <w:r>
        <w:rPr>
          <w:rFonts w:hint="eastAsia" w:ascii="宋体" w:hAnsi="宋体" w:cs="宋体"/>
          <w:b/>
          <w:sz w:val="24"/>
        </w:rPr>
        <w:t>第十七条 附件</w:t>
      </w:r>
    </w:p>
    <w:p w14:paraId="29793CEE">
      <w:pPr>
        <w:spacing w:line="360" w:lineRule="auto"/>
        <w:ind w:firstLine="480" w:firstLineChars="200"/>
        <w:rPr>
          <w:rFonts w:hint="eastAsia" w:ascii="宋体" w:hAnsi="宋体" w:cs="宋体"/>
          <w:sz w:val="24"/>
        </w:rPr>
      </w:pPr>
      <w:r>
        <w:rPr>
          <w:rFonts w:hint="eastAsia" w:ascii="宋体" w:hAnsi="宋体" w:cs="宋体"/>
          <w:sz w:val="24"/>
        </w:rPr>
        <w:t>1.中标通知书</w:t>
      </w:r>
    </w:p>
    <w:p w14:paraId="2B234E81">
      <w:pPr>
        <w:spacing w:line="360" w:lineRule="auto"/>
        <w:ind w:firstLine="480" w:firstLineChars="200"/>
        <w:rPr>
          <w:rFonts w:hint="eastAsia" w:ascii="宋体" w:hAnsi="宋体" w:cs="宋体"/>
          <w:sz w:val="24"/>
        </w:rPr>
      </w:pPr>
      <w:r>
        <w:rPr>
          <w:rFonts w:hint="eastAsia" w:ascii="宋体" w:hAnsi="宋体" w:cs="宋体"/>
          <w:sz w:val="24"/>
        </w:rPr>
        <w:t>2.配置清单（供货价目清单）</w:t>
      </w:r>
    </w:p>
    <w:p w14:paraId="04876EC1">
      <w:pPr>
        <w:spacing w:line="360" w:lineRule="auto"/>
        <w:ind w:firstLine="480" w:firstLineChars="200"/>
        <w:rPr>
          <w:rFonts w:hint="eastAsia" w:ascii="宋体" w:hAnsi="宋体" w:cs="宋体"/>
          <w:sz w:val="24"/>
        </w:rPr>
      </w:pPr>
      <w:r>
        <w:rPr>
          <w:rFonts w:hint="eastAsia" w:ascii="宋体" w:hAnsi="宋体" w:cs="宋体"/>
          <w:sz w:val="24"/>
        </w:rPr>
        <w:t>3.售后服务承诺书</w:t>
      </w:r>
    </w:p>
    <w:p w14:paraId="5AB084F4">
      <w:pPr>
        <w:spacing w:line="360" w:lineRule="auto"/>
        <w:ind w:firstLine="480" w:firstLineChars="200"/>
        <w:rPr>
          <w:rFonts w:hint="eastAsia" w:ascii="宋体" w:hAnsi="宋体" w:cs="宋体"/>
          <w:sz w:val="24"/>
        </w:rPr>
      </w:pPr>
      <w:r>
        <w:rPr>
          <w:rFonts w:hint="eastAsia" w:ascii="宋体" w:hAnsi="宋体" w:cs="宋体"/>
          <w:sz w:val="24"/>
        </w:rPr>
        <w:t>4.</w:t>
      </w:r>
    </w:p>
    <w:p w14:paraId="40E9703D">
      <w:pPr>
        <w:spacing w:line="360" w:lineRule="auto"/>
        <w:ind w:firstLine="480" w:firstLineChars="200"/>
        <w:rPr>
          <w:rFonts w:hint="eastAsia" w:ascii="宋体" w:hAnsi="宋体" w:cs="宋体"/>
          <w:sz w:val="24"/>
        </w:rPr>
      </w:pPr>
      <w:r>
        <w:rPr>
          <w:rFonts w:hint="eastAsia" w:ascii="宋体" w:hAnsi="宋体" w:cs="宋体"/>
          <w:sz w:val="24"/>
        </w:rPr>
        <w:t>5.</w:t>
      </w:r>
    </w:p>
    <w:p w14:paraId="5683A7B4">
      <w:pPr>
        <w:tabs>
          <w:tab w:val="left" w:pos="8280"/>
        </w:tabs>
        <w:spacing w:line="360" w:lineRule="auto"/>
        <w:ind w:firstLine="480" w:firstLineChars="200"/>
        <w:rPr>
          <w:rFonts w:hint="eastAsia" w:ascii="宋体" w:hAnsi="宋体" w:cs="宋体"/>
          <w:sz w:val="24"/>
        </w:rPr>
      </w:pPr>
      <w:r>
        <w:rPr>
          <w:rFonts w:hint="eastAsia" w:ascii="宋体" w:hAnsi="宋体" w:cs="宋体"/>
          <w:sz w:val="24"/>
        </w:rPr>
        <w:t>甲方：                                   乙方：</w:t>
      </w:r>
    </w:p>
    <w:p w14:paraId="13C5928A">
      <w:pPr>
        <w:tabs>
          <w:tab w:val="left" w:pos="8280"/>
        </w:tabs>
        <w:spacing w:line="360" w:lineRule="auto"/>
        <w:ind w:firstLine="480" w:firstLineChars="200"/>
        <w:rPr>
          <w:rFonts w:hint="eastAsia" w:ascii="宋体" w:hAnsi="宋体" w:cs="宋体"/>
          <w:sz w:val="24"/>
        </w:rPr>
      </w:pPr>
      <w:r>
        <w:rPr>
          <w:rFonts w:hint="eastAsia" w:ascii="宋体" w:hAnsi="宋体" w:cs="宋体"/>
          <w:sz w:val="24"/>
        </w:rPr>
        <w:t>法定代表人（或委托代理人）：              法定代表人（或委托代理人）：</w:t>
      </w:r>
    </w:p>
    <w:p w14:paraId="1D936C10">
      <w:pPr>
        <w:tabs>
          <w:tab w:val="left" w:pos="8280"/>
        </w:tabs>
        <w:spacing w:line="360" w:lineRule="auto"/>
        <w:ind w:firstLine="480" w:firstLineChars="200"/>
        <w:rPr>
          <w:rFonts w:hint="eastAsia" w:ascii="宋体" w:hAnsi="宋体" w:cs="宋体"/>
          <w:sz w:val="24"/>
        </w:rPr>
      </w:pPr>
      <w:r>
        <w:rPr>
          <w:rFonts w:hint="eastAsia" w:ascii="宋体" w:hAnsi="宋体" w:cs="宋体"/>
          <w:sz w:val="24"/>
        </w:rPr>
        <w:t>地址：                                    地址：</w:t>
      </w:r>
    </w:p>
    <w:p w14:paraId="3BA55091">
      <w:pPr>
        <w:tabs>
          <w:tab w:val="left" w:pos="8280"/>
        </w:tabs>
        <w:spacing w:line="360" w:lineRule="auto"/>
        <w:ind w:firstLine="480" w:firstLineChars="200"/>
        <w:rPr>
          <w:rFonts w:hint="eastAsia" w:ascii="宋体" w:hAnsi="宋体" w:cs="宋体"/>
          <w:sz w:val="24"/>
        </w:rPr>
      </w:pPr>
      <w:r>
        <w:rPr>
          <w:rFonts w:hint="eastAsia" w:ascii="宋体" w:hAnsi="宋体" w:cs="宋体"/>
          <w:sz w:val="24"/>
        </w:rPr>
        <w:t>邮编：                                    邮编：</w:t>
      </w:r>
    </w:p>
    <w:p w14:paraId="5010B1B4">
      <w:pPr>
        <w:tabs>
          <w:tab w:val="left" w:pos="8280"/>
        </w:tabs>
        <w:spacing w:line="360" w:lineRule="auto"/>
        <w:ind w:firstLine="480" w:firstLineChars="200"/>
        <w:rPr>
          <w:rFonts w:hint="eastAsia" w:ascii="宋体" w:hAnsi="宋体" w:cs="宋体"/>
          <w:sz w:val="24"/>
        </w:rPr>
      </w:pPr>
      <w:r>
        <w:rPr>
          <w:rFonts w:hint="eastAsia" w:ascii="宋体" w:hAnsi="宋体" w:cs="宋体"/>
          <w:sz w:val="24"/>
        </w:rPr>
        <w:t>电话：                                    电话：</w:t>
      </w:r>
    </w:p>
    <w:p w14:paraId="2B7E16DD">
      <w:pPr>
        <w:tabs>
          <w:tab w:val="left" w:pos="8280"/>
        </w:tabs>
        <w:spacing w:line="360" w:lineRule="auto"/>
        <w:ind w:firstLine="480" w:firstLineChars="200"/>
        <w:rPr>
          <w:rFonts w:hint="eastAsia" w:ascii="宋体" w:hAnsi="宋体" w:cs="宋体"/>
          <w:sz w:val="24"/>
        </w:rPr>
      </w:pPr>
      <w:r>
        <w:rPr>
          <w:rFonts w:hint="eastAsia" w:ascii="宋体" w:hAnsi="宋体" w:cs="宋体"/>
          <w:sz w:val="24"/>
        </w:rPr>
        <w:t>开户行：                                  开户行：</w:t>
      </w:r>
    </w:p>
    <w:p w14:paraId="1F3FF946">
      <w:pPr>
        <w:tabs>
          <w:tab w:val="left" w:pos="8280"/>
        </w:tabs>
        <w:spacing w:line="360" w:lineRule="auto"/>
        <w:ind w:firstLine="480" w:firstLineChars="200"/>
        <w:rPr>
          <w:rFonts w:hint="eastAsia" w:ascii="宋体" w:hAnsi="宋体" w:cs="宋体"/>
          <w:sz w:val="24"/>
        </w:rPr>
      </w:pPr>
      <w:r>
        <w:rPr>
          <w:rFonts w:hint="eastAsia" w:ascii="宋体" w:hAnsi="宋体" w:cs="宋体"/>
          <w:sz w:val="24"/>
        </w:rPr>
        <w:t>账号：                                    账号：</w:t>
      </w:r>
    </w:p>
    <w:p w14:paraId="744AB5DD">
      <w:pPr>
        <w:spacing w:line="360" w:lineRule="auto"/>
        <w:rPr>
          <w:rFonts w:hint="eastAsia" w:ascii="宋体" w:hAnsi="宋体" w:cs="宋体"/>
          <w:sz w:val="24"/>
        </w:rPr>
      </w:pPr>
      <w:r>
        <w:rPr>
          <w:rFonts w:hint="eastAsia" w:ascii="宋体" w:hAnsi="宋体" w:cs="宋体"/>
          <w:sz w:val="24"/>
        </w:rPr>
        <w:t xml:space="preserve">    税号：                                    税号：</w:t>
      </w:r>
    </w:p>
    <w:p w14:paraId="712FCB67">
      <w:pPr>
        <w:spacing w:line="360" w:lineRule="auto"/>
        <w:ind w:firstLine="480" w:firstLineChars="200"/>
        <w:rPr>
          <w:rFonts w:hint="eastAsia" w:ascii="宋体" w:hAnsi="宋体" w:cs="宋体"/>
          <w:sz w:val="24"/>
        </w:rPr>
      </w:pPr>
      <w:r>
        <w:rPr>
          <w:rFonts w:hint="eastAsia" w:ascii="宋体" w:hAnsi="宋体" w:cs="宋体"/>
          <w:sz w:val="24"/>
        </w:rPr>
        <w:t>日期：   年   月    日                    日  期： 年   月    日</w:t>
      </w:r>
    </w:p>
    <w:p w14:paraId="519B32D1">
      <w:pPr>
        <w:spacing w:line="360" w:lineRule="auto"/>
        <w:rPr>
          <w:rFonts w:hint="eastAsia" w:ascii="宋体" w:hAnsi="宋体" w:cs="宋体"/>
        </w:rPr>
      </w:pPr>
      <w:r>
        <w:rPr>
          <w:rFonts w:hint="eastAsia" w:ascii="宋体" w:hAnsi="宋体" w:cs="宋体"/>
        </w:rPr>
        <w:br w:type="page"/>
      </w:r>
    </w:p>
    <w:p w14:paraId="49F95444">
      <w:pPr>
        <w:pStyle w:val="3"/>
        <w:jc w:val="center"/>
        <w:rPr>
          <w:rFonts w:hint="eastAsia" w:ascii="宋体" w:hAnsi="宋体" w:eastAsia="宋体" w:cs="宋体"/>
        </w:rPr>
        <w:sectPr>
          <w:pgSz w:w="11906" w:h="16838"/>
          <w:pgMar w:top="1440" w:right="1800" w:bottom="1440" w:left="1800" w:header="851" w:footer="992" w:gutter="0"/>
          <w:pgNumType w:fmt="decimal"/>
          <w:cols w:space="425" w:num="1"/>
          <w:docGrid w:type="lines" w:linePitch="312" w:charSpace="0"/>
        </w:sectPr>
      </w:pPr>
      <w:bookmarkStart w:id="104" w:name="_Toc15468"/>
    </w:p>
    <w:p w14:paraId="7D229475">
      <w:pPr>
        <w:pStyle w:val="3"/>
        <w:jc w:val="center"/>
        <w:rPr>
          <w:rFonts w:hint="eastAsia" w:ascii="宋体" w:hAnsi="宋体" w:eastAsia="宋体" w:cs="宋体"/>
        </w:rPr>
      </w:pPr>
      <w:bookmarkStart w:id="105" w:name="_Toc24287"/>
      <w:r>
        <w:rPr>
          <w:rFonts w:hint="eastAsia" w:ascii="宋体" w:hAnsi="宋体" w:eastAsia="宋体" w:cs="宋体"/>
        </w:rPr>
        <w:t>第四章   采购需求及技术参数要求</w:t>
      </w:r>
      <w:bookmarkEnd w:id="104"/>
      <w:bookmarkEnd w:id="105"/>
    </w:p>
    <w:p w14:paraId="32A651F4">
      <w:pPr>
        <w:adjustRightInd w:val="0"/>
        <w:snapToGrid w:val="0"/>
        <w:spacing w:line="360" w:lineRule="auto"/>
        <w:rPr>
          <w:rFonts w:hint="eastAsia" w:ascii="宋体" w:hAnsi="宋体" w:cs="宋体"/>
          <w:b/>
          <w:bCs/>
          <w:color w:val="000000" w:themeColor="text1"/>
          <w:sz w:val="24"/>
          <w14:textFill>
            <w14:solidFill>
              <w14:schemeClr w14:val="tx1"/>
            </w14:solidFill>
          </w14:textFill>
        </w:rPr>
      </w:pPr>
      <w:bookmarkStart w:id="106" w:name="_Toc8519"/>
      <w:r>
        <w:rPr>
          <w:rFonts w:hint="eastAsia" w:ascii="宋体" w:hAnsi="宋体" w:cs="宋体"/>
          <w:b/>
          <w:bCs/>
          <w:color w:val="000000" w:themeColor="text1"/>
          <w:sz w:val="24"/>
          <w14:textFill>
            <w14:solidFill>
              <w14:schemeClr w14:val="tx1"/>
            </w14:solidFill>
          </w14:textFill>
        </w:rPr>
        <w:t>一、设备采购清单</w:t>
      </w:r>
    </w:p>
    <w:tbl>
      <w:tblPr>
        <w:tblStyle w:val="23"/>
        <w:tblW w:w="9675" w:type="dxa"/>
        <w:jc w:val="center"/>
        <w:tblLayout w:type="autofit"/>
        <w:tblCellMar>
          <w:top w:w="0" w:type="dxa"/>
          <w:left w:w="108" w:type="dxa"/>
          <w:bottom w:w="0" w:type="dxa"/>
          <w:right w:w="108" w:type="dxa"/>
        </w:tblCellMar>
      </w:tblPr>
      <w:tblGrid>
        <w:gridCol w:w="915"/>
        <w:gridCol w:w="2820"/>
        <w:gridCol w:w="1200"/>
        <w:gridCol w:w="1635"/>
        <w:gridCol w:w="1770"/>
        <w:gridCol w:w="1335"/>
      </w:tblGrid>
      <w:tr w14:paraId="2C1E5C07">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vAlign w:val="center"/>
          </w:tcPr>
          <w:p w14:paraId="31A2C473">
            <w:pPr>
              <w:widowControl/>
              <w:jc w:val="center"/>
              <w:textAlignment w:val="center"/>
              <w:rPr>
                <w:rFonts w:hint="eastAsia" w:ascii="宋体" w:hAnsi="宋体" w:cs="宋体"/>
                <w:sz w:val="24"/>
              </w:rPr>
            </w:pPr>
            <w:r>
              <w:rPr>
                <w:rFonts w:hint="eastAsia" w:ascii="宋体" w:hAnsi="宋体" w:cs="宋体"/>
                <w:kern w:val="0"/>
                <w:sz w:val="24"/>
                <w:lang w:bidi="ar"/>
              </w:rPr>
              <w:t>序号</w:t>
            </w:r>
          </w:p>
        </w:tc>
        <w:tc>
          <w:tcPr>
            <w:tcW w:w="2820" w:type="dxa"/>
            <w:tcBorders>
              <w:top w:val="single" w:color="000000" w:sz="4" w:space="0"/>
              <w:left w:val="single" w:color="000000" w:sz="4" w:space="0"/>
              <w:bottom w:val="single" w:color="000000" w:sz="4" w:space="0"/>
              <w:right w:val="single" w:color="000000" w:sz="4" w:space="0"/>
            </w:tcBorders>
            <w:vAlign w:val="center"/>
          </w:tcPr>
          <w:p w14:paraId="4C573C34">
            <w:pPr>
              <w:widowControl/>
              <w:jc w:val="center"/>
              <w:textAlignment w:val="center"/>
              <w:rPr>
                <w:rFonts w:hint="eastAsia" w:ascii="宋体" w:hAnsi="宋体" w:cs="宋体"/>
                <w:sz w:val="24"/>
              </w:rPr>
            </w:pPr>
            <w:r>
              <w:rPr>
                <w:rFonts w:hint="eastAsia" w:ascii="宋体" w:hAnsi="宋体" w:cs="宋体"/>
                <w:kern w:val="0"/>
                <w:sz w:val="24"/>
                <w:lang w:bidi="ar"/>
              </w:rPr>
              <w:t>设备名称</w:t>
            </w:r>
          </w:p>
        </w:tc>
        <w:tc>
          <w:tcPr>
            <w:tcW w:w="1200" w:type="dxa"/>
            <w:tcBorders>
              <w:top w:val="single" w:color="000000" w:sz="4" w:space="0"/>
              <w:left w:val="single" w:color="000000" w:sz="4" w:space="0"/>
              <w:bottom w:val="single" w:color="000000" w:sz="4" w:space="0"/>
              <w:right w:val="single" w:color="000000" w:sz="4" w:space="0"/>
            </w:tcBorders>
            <w:vAlign w:val="center"/>
          </w:tcPr>
          <w:p w14:paraId="49AD7B38">
            <w:pPr>
              <w:widowControl/>
              <w:jc w:val="center"/>
              <w:textAlignment w:val="center"/>
              <w:rPr>
                <w:rFonts w:hint="eastAsia" w:ascii="宋体" w:hAnsi="宋体" w:cs="宋体"/>
                <w:sz w:val="24"/>
              </w:rPr>
            </w:pPr>
            <w:r>
              <w:rPr>
                <w:rFonts w:hint="eastAsia" w:ascii="宋体" w:hAnsi="宋体" w:cs="宋体"/>
                <w:kern w:val="0"/>
                <w:sz w:val="24"/>
                <w:lang w:bidi="ar"/>
              </w:rPr>
              <w:t>数量（台/套）</w:t>
            </w:r>
          </w:p>
        </w:tc>
        <w:tc>
          <w:tcPr>
            <w:tcW w:w="1635" w:type="dxa"/>
            <w:tcBorders>
              <w:top w:val="single" w:color="000000" w:sz="4" w:space="0"/>
              <w:left w:val="single" w:color="000000" w:sz="4" w:space="0"/>
              <w:bottom w:val="single" w:color="000000" w:sz="4" w:space="0"/>
              <w:right w:val="single" w:color="000000" w:sz="4" w:space="0"/>
            </w:tcBorders>
            <w:vAlign w:val="center"/>
          </w:tcPr>
          <w:p w14:paraId="1F5CF581">
            <w:pPr>
              <w:widowControl/>
              <w:jc w:val="center"/>
              <w:textAlignment w:val="center"/>
              <w:rPr>
                <w:rFonts w:hint="eastAsia" w:ascii="宋体" w:hAnsi="宋体" w:cs="宋体"/>
                <w:sz w:val="24"/>
              </w:rPr>
            </w:pPr>
            <w:r>
              <w:rPr>
                <w:rFonts w:hint="eastAsia" w:ascii="宋体" w:hAnsi="宋体" w:cs="宋体"/>
                <w:kern w:val="0"/>
                <w:sz w:val="24"/>
                <w:lang w:bidi="ar"/>
              </w:rPr>
              <w:t>设备单价（元）</w:t>
            </w:r>
          </w:p>
        </w:tc>
        <w:tc>
          <w:tcPr>
            <w:tcW w:w="1770" w:type="dxa"/>
            <w:tcBorders>
              <w:top w:val="single" w:color="000000" w:sz="4" w:space="0"/>
              <w:left w:val="single" w:color="000000" w:sz="4" w:space="0"/>
              <w:bottom w:val="single" w:color="000000" w:sz="4" w:space="0"/>
              <w:right w:val="single" w:color="000000" w:sz="4" w:space="0"/>
            </w:tcBorders>
            <w:vAlign w:val="center"/>
          </w:tcPr>
          <w:p w14:paraId="4C430764">
            <w:pPr>
              <w:widowControl/>
              <w:jc w:val="center"/>
              <w:textAlignment w:val="center"/>
              <w:rPr>
                <w:rFonts w:hint="eastAsia" w:ascii="宋体" w:hAnsi="宋体" w:cs="宋体"/>
                <w:sz w:val="24"/>
              </w:rPr>
            </w:pPr>
            <w:r>
              <w:rPr>
                <w:rFonts w:hint="eastAsia" w:ascii="宋体" w:hAnsi="宋体" w:cs="宋体"/>
                <w:kern w:val="0"/>
                <w:sz w:val="24"/>
                <w:lang w:bidi="ar"/>
              </w:rPr>
              <w:t>设备总价（元）</w:t>
            </w:r>
          </w:p>
        </w:tc>
        <w:tc>
          <w:tcPr>
            <w:tcW w:w="1335" w:type="dxa"/>
            <w:tcBorders>
              <w:top w:val="single" w:color="000000" w:sz="4" w:space="0"/>
              <w:left w:val="single" w:color="000000" w:sz="4" w:space="0"/>
              <w:bottom w:val="single" w:color="000000" w:sz="4" w:space="0"/>
              <w:right w:val="single" w:color="000000" w:sz="4" w:space="0"/>
            </w:tcBorders>
            <w:vAlign w:val="center"/>
          </w:tcPr>
          <w:p w14:paraId="427F63A4">
            <w:pPr>
              <w:widowControl/>
              <w:jc w:val="center"/>
              <w:textAlignment w:val="center"/>
              <w:rPr>
                <w:rFonts w:hint="eastAsia" w:ascii="宋体" w:hAnsi="宋体" w:cs="宋体"/>
                <w:sz w:val="24"/>
              </w:rPr>
            </w:pPr>
            <w:r>
              <w:rPr>
                <w:rFonts w:hint="eastAsia" w:ascii="宋体" w:hAnsi="宋体" w:cs="宋体"/>
                <w:kern w:val="0"/>
                <w:sz w:val="24"/>
                <w:lang w:bidi="ar"/>
              </w:rPr>
              <w:t>备注</w:t>
            </w:r>
          </w:p>
        </w:tc>
      </w:tr>
      <w:tr w14:paraId="5B0FC7CB">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23BD3D08">
            <w:pPr>
              <w:snapToGrid w:val="0"/>
              <w:jc w:val="center"/>
              <w:rPr>
                <w:rFonts w:hint="eastAsia" w:ascii="宋体" w:hAnsi="宋体" w:cs="宋体"/>
                <w:sz w:val="24"/>
              </w:rPr>
            </w:pPr>
            <w:r>
              <w:rPr>
                <w:rFonts w:hint="eastAsia" w:ascii="宋体" w:hAnsi="宋体" w:cs="宋体"/>
                <w:sz w:val="24"/>
              </w:rPr>
              <w:t>1</w:t>
            </w:r>
          </w:p>
        </w:tc>
        <w:tc>
          <w:tcPr>
            <w:tcW w:w="2820" w:type="dxa"/>
            <w:tcBorders>
              <w:top w:val="single" w:color="000000" w:sz="4" w:space="0"/>
              <w:left w:val="single" w:color="000000" w:sz="4" w:space="0"/>
              <w:bottom w:val="single" w:color="000000" w:sz="4" w:space="0"/>
              <w:right w:val="single" w:color="000000" w:sz="4" w:space="0"/>
            </w:tcBorders>
            <w:vAlign w:val="center"/>
          </w:tcPr>
          <w:p w14:paraId="2DDB1022">
            <w:pPr>
              <w:snapToGrid w:val="0"/>
              <w:jc w:val="center"/>
              <w:rPr>
                <w:rFonts w:hint="eastAsia" w:ascii="宋体" w:hAnsi="宋体" w:cs="宋体"/>
                <w:sz w:val="24"/>
              </w:rPr>
            </w:pPr>
            <w:r>
              <w:rPr>
                <w:rFonts w:hint="eastAsia" w:ascii="宋体" w:hAnsi="宋体" w:cs="宋体"/>
                <w:sz w:val="24"/>
              </w:rPr>
              <w:t>大流量低浓度烟尘气测试仪（带紫外模块）</w:t>
            </w:r>
          </w:p>
        </w:tc>
        <w:tc>
          <w:tcPr>
            <w:tcW w:w="1200" w:type="dxa"/>
            <w:tcBorders>
              <w:top w:val="single" w:color="000000" w:sz="4" w:space="0"/>
              <w:left w:val="single" w:color="000000" w:sz="4" w:space="0"/>
              <w:bottom w:val="single" w:color="000000" w:sz="4" w:space="0"/>
              <w:right w:val="single" w:color="000000" w:sz="4" w:space="0"/>
            </w:tcBorders>
            <w:vAlign w:val="center"/>
          </w:tcPr>
          <w:p w14:paraId="4806B2FB">
            <w:pPr>
              <w:snapToGrid w:val="0"/>
              <w:jc w:val="center"/>
              <w:rPr>
                <w:rFonts w:hint="eastAsia" w:ascii="宋体" w:hAnsi="宋体" w:cs="宋体"/>
                <w:sz w:val="24"/>
              </w:rPr>
            </w:pPr>
            <w:r>
              <w:rPr>
                <w:rFonts w:hint="eastAsia" w:ascii="宋体" w:hAnsi="宋体" w:cs="宋体"/>
                <w:sz w:val="24"/>
              </w:rPr>
              <w:t>5</w:t>
            </w:r>
          </w:p>
        </w:tc>
        <w:tc>
          <w:tcPr>
            <w:tcW w:w="1635" w:type="dxa"/>
            <w:tcBorders>
              <w:top w:val="single" w:color="000000" w:sz="4" w:space="0"/>
              <w:left w:val="single" w:color="000000" w:sz="4" w:space="0"/>
              <w:bottom w:val="single" w:color="000000" w:sz="4" w:space="0"/>
              <w:right w:val="single" w:color="000000" w:sz="4" w:space="0"/>
            </w:tcBorders>
            <w:vAlign w:val="center"/>
          </w:tcPr>
          <w:p w14:paraId="440D1DBA">
            <w:pPr>
              <w:snapToGrid w:val="0"/>
              <w:jc w:val="center"/>
              <w:rPr>
                <w:rFonts w:hint="eastAsia" w:ascii="宋体" w:hAnsi="宋体" w:cs="宋体"/>
                <w:sz w:val="24"/>
              </w:rPr>
            </w:pPr>
            <w:r>
              <w:rPr>
                <w:rFonts w:hint="eastAsia" w:ascii="宋体" w:hAnsi="宋体" w:cs="宋体"/>
                <w:sz w:val="24"/>
              </w:rPr>
              <w:t>140000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463A3A8B">
            <w:pPr>
              <w:snapToGrid w:val="0"/>
              <w:jc w:val="center"/>
              <w:rPr>
                <w:rFonts w:hint="eastAsia" w:ascii="宋体" w:hAnsi="宋体" w:cs="宋体"/>
                <w:sz w:val="24"/>
              </w:rPr>
            </w:pPr>
            <w:r>
              <w:rPr>
                <w:rFonts w:hint="eastAsia" w:ascii="宋体" w:hAnsi="宋体" w:cs="宋体"/>
                <w:sz w:val="24"/>
              </w:rPr>
              <w:t>700000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E4B565">
            <w:pPr>
              <w:jc w:val="center"/>
              <w:rPr>
                <w:rFonts w:hint="eastAsia" w:ascii="宋体" w:hAnsi="宋体" w:cs="宋体"/>
                <w:sz w:val="24"/>
              </w:rPr>
            </w:pPr>
            <w:r>
              <w:rPr>
                <w:rFonts w:hint="eastAsia" w:ascii="宋体" w:hAnsi="宋体" w:cs="宋体"/>
                <w:sz w:val="24"/>
                <w:lang w:val="en-US" w:eastAsia="zh-CN"/>
              </w:rPr>
              <w:t>核心产品</w:t>
            </w:r>
          </w:p>
        </w:tc>
      </w:tr>
      <w:tr w14:paraId="651B3C06">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0770AA5D">
            <w:pPr>
              <w:snapToGrid w:val="0"/>
              <w:jc w:val="center"/>
              <w:rPr>
                <w:rFonts w:hint="eastAsia" w:ascii="宋体" w:hAnsi="宋体" w:cs="宋体"/>
                <w:sz w:val="24"/>
              </w:rPr>
            </w:pPr>
            <w:r>
              <w:rPr>
                <w:rFonts w:hint="eastAsia" w:ascii="宋体" w:hAnsi="宋体" w:cs="宋体"/>
                <w:sz w:val="24"/>
              </w:rPr>
              <w:t>2</w:t>
            </w:r>
          </w:p>
        </w:tc>
        <w:tc>
          <w:tcPr>
            <w:tcW w:w="2820" w:type="dxa"/>
            <w:tcBorders>
              <w:top w:val="single" w:color="000000" w:sz="4" w:space="0"/>
              <w:left w:val="single" w:color="000000" w:sz="4" w:space="0"/>
              <w:bottom w:val="single" w:color="000000" w:sz="4" w:space="0"/>
              <w:right w:val="single" w:color="000000" w:sz="4" w:space="0"/>
            </w:tcBorders>
            <w:vAlign w:val="center"/>
          </w:tcPr>
          <w:p w14:paraId="08446FAE">
            <w:pPr>
              <w:snapToGrid w:val="0"/>
              <w:jc w:val="center"/>
              <w:rPr>
                <w:rFonts w:hint="eastAsia" w:ascii="宋体" w:hAnsi="宋体" w:cs="宋体"/>
                <w:sz w:val="24"/>
              </w:rPr>
            </w:pPr>
            <w:r>
              <w:rPr>
                <w:rFonts w:hint="eastAsia" w:ascii="宋体" w:hAnsi="宋体" w:cs="宋体"/>
                <w:sz w:val="24"/>
              </w:rPr>
              <w:t>大流量低浓度烟尘气测试仪（定电位电解法）</w:t>
            </w:r>
          </w:p>
        </w:tc>
        <w:tc>
          <w:tcPr>
            <w:tcW w:w="1200" w:type="dxa"/>
            <w:tcBorders>
              <w:top w:val="single" w:color="000000" w:sz="4" w:space="0"/>
              <w:left w:val="single" w:color="000000" w:sz="4" w:space="0"/>
              <w:bottom w:val="single" w:color="000000" w:sz="4" w:space="0"/>
              <w:right w:val="single" w:color="000000" w:sz="4" w:space="0"/>
            </w:tcBorders>
            <w:vAlign w:val="center"/>
          </w:tcPr>
          <w:p w14:paraId="447D1B09">
            <w:pPr>
              <w:snapToGrid w:val="0"/>
              <w:jc w:val="center"/>
              <w:rPr>
                <w:rFonts w:hint="eastAsia" w:ascii="宋体" w:hAnsi="宋体" w:cs="宋体"/>
                <w:sz w:val="24"/>
              </w:rPr>
            </w:pPr>
            <w:r>
              <w:rPr>
                <w:rFonts w:hint="eastAsia" w:ascii="宋体" w:hAnsi="宋体" w:cs="宋体"/>
                <w:sz w:val="24"/>
              </w:rPr>
              <w:t>2</w:t>
            </w:r>
          </w:p>
        </w:tc>
        <w:tc>
          <w:tcPr>
            <w:tcW w:w="1635" w:type="dxa"/>
            <w:tcBorders>
              <w:top w:val="single" w:color="000000" w:sz="4" w:space="0"/>
              <w:left w:val="single" w:color="000000" w:sz="4" w:space="0"/>
              <w:bottom w:val="single" w:color="000000" w:sz="4" w:space="0"/>
              <w:right w:val="single" w:color="000000" w:sz="4" w:space="0"/>
            </w:tcBorders>
            <w:vAlign w:val="center"/>
          </w:tcPr>
          <w:p w14:paraId="0E830449">
            <w:pPr>
              <w:snapToGrid w:val="0"/>
              <w:jc w:val="center"/>
              <w:rPr>
                <w:rFonts w:hint="eastAsia" w:ascii="宋体" w:hAnsi="宋体" w:cs="宋体"/>
                <w:sz w:val="24"/>
              </w:rPr>
            </w:pPr>
            <w:r>
              <w:rPr>
                <w:rFonts w:hint="eastAsia" w:ascii="宋体" w:hAnsi="宋体" w:cs="宋体"/>
                <w:sz w:val="24"/>
              </w:rPr>
              <w:t>60000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53481A18">
            <w:pPr>
              <w:snapToGrid w:val="0"/>
              <w:jc w:val="center"/>
              <w:rPr>
                <w:rFonts w:hint="eastAsia" w:ascii="宋体" w:hAnsi="宋体" w:cs="宋体"/>
                <w:sz w:val="24"/>
              </w:rPr>
            </w:pPr>
            <w:r>
              <w:rPr>
                <w:rFonts w:hint="eastAsia" w:ascii="宋体" w:hAnsi="宋体" w:cs="宋体"/>
                <w:sz w:val="24"/>
              </w:rPr>
              <w:t>120000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1DDFB1">
            <w:pPr>
              <w:jc w:val="center"/>
              <w:rPr>
                <w:rFonts w:hint="eastAsia" w:ascii="宋体" w:hAnsi="宋体" w:cs="宋体"/>
                <w:sz w:val="24"/>
              </w:rPr>
            </w:pPr>
          </w:p>
        </w:tc>
      </w:tr>
      <w:tr w14:paraId="60D0E880">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60DAB142">
            <w:pPr>
              <w:snapToGrid w:val="0"/>
              <w:jc w:val="center"/>
              <w:rPr>
                <w:rFonts w:hint="eastAsia" w:ascii="宋体" w:hAnsi="宋体" w:cs="宋体"/>
                <w:sz w:val="24"/>
              </w:rPr>
            </w:pPr>
            <w:r>
              <w:rPr>
                <w:rFonts w:hint="eastAsia" w:ascii="宋体" w:hAnsi="宋体" w:cs="宋体"/>
                <w:sz w:val="24"/>
              </w:rPr>
              <w:t>3</w:t>
            </w:r>
          </w:p>
        </w:tc>
        <w:tc>
          <w:tcPr>
            <w:tcW w:w="2820" w:type="dxa"/>
            <w:tcBorders>
              <w:top w:val="single" w:color="000000" w:sz="4" w:space="0"/>
              <w:left w:val="single" w:color="000000" w:sz="4" w:space="0"/>
              <w:bottom w:val="single" w:color="000000" w:sz="4" w:space="0"/>
              <w:right w:val="single" w:color="000000" w:sz="4" w:space="0"/>
            </w:tcBorders>
            <w:vAlign w:val="center"/>
          </w:tcPr>
          <w:p w14:paraId="40CF0D37">
            <w:pPr>
              <w:snapToGrid w:val="0"/>
              <w:jc w:val="center"/>
              <w:rPr>
                <w:rFonts w:hint="eastAsia" w:ascii="宋体" w:hAnsi="宋体" w:cs="宋体"/>
                <w:sz w:val="24"/>
              </w:rPr>
            </w:pPr>
            <w:r>
              <w:rPr>
                <w:rFonts w:hint="eastAsia" w:ascii="宋体" w:hAnsi="宋体" w:cs="宋体"/>
                <w:sz w:val="24"/>
              </w:rPr>
              <w:t>全自动总磷总氮分析仪</w:t>
            </w:r>
          </w:p>
        </w:tc>
        <w:tc>
          <w:tcPr>
            <w:tcW w:w="1200" w:type="dxa"/>
            <w:tcBorders>
              <w:top w:val="single" w:color="000000" w:sz="4" w:space="0"/>
              <w:left w:val="single" w:color="000000" w:sz="4" w:space="0"/>
              <w:bottom w:val="single" w:color="000000" w:sz="4" w:space="0"/>
              <w:right w:val="single" w:color="000000" w:sz="4" w:space="0"/>
            </w:tcBorders>
            <w:vAlign w:val="center"/>
          </w:tcPr>
          <w:p w14:paraId="623AC175">
            <w:pPr>
              <w:snapToGrid w:val="0"/>
              <w:jc w:val="center"/>
              <w:rPr>
                <w:rFonts w:hint="eastAsia" w:ascii="宋体" w:hAnsi="宋体" w:cs="宋体"/>
                <w:sz w:val="24"/>
              </w:rPr>
            </w:pPr>
            <w:r>
              <w:rPr>
                <w:rFonts w:hint="eastAsia" w:ascii="宋体" w:hAnsi="宋体" w:cs="宋体"/>
                <w:sz w:val="24"/>
              </w:rPr>
              <w:t>2</w:t>
            </w:r>
          </w:p>
        </w:tc>
        <w:tc>
          <w:tcPr>
            <w:tcW w:w="1635" w:type="dxa"/>
            <w:tcBorders>
              <w:top w:val="single" w:color="000000" w:sz="4" w:space="0"/>
              <w:left w:val="single" w:color="000000" w:sz="4" w:space="0"/>
              <w:bottom w:val="single" w:color="000000" w:sz="4" w:space="0"/>
              <w:right w:val="single" w:color="000000" w:sz="4" w:space="0"/>
            </w:tcBorders>
            <w:vAlign w:val="center"/>
          </w:tcPr>
          <w:p w14:paraId="031C947A">
            <w:pPr>
              <w:snapToGrid w:val="0"/>
              <w:jc w:val="center"/>
              <w:rPr>
                <w:rFonts w:hint="eastAsia" w:ascii="宋体" w:hAnsi="宋体" w:cs="宋体"/>
                <w:sz w:val="24"/>
              </w:rPr>
            </w:pPr>
            <w:r>
              <w:rPr>
                <w:rFonts w:hint="eastAsia" w:ascii="宋体" w:hAnsi="宋体" w:cs="宋体"/>
                <w:sz w:val="24"/>
              </w:rPr>
              <w:t>195000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7A78C02B">
            <w:pPr>
              <w:snapToGrid w:val="0"/>
              <w:jc w:val="center"/>
              <w:rPr>
                <w:rFonts w:hint="eastAsia" w:ascii="宋体" w:hAnsi="宋体" w:cs="宋体"/>
                <w:sz w:val="24"/>
              </w:rPr>
            </w:pPr>
            <w:r>
              <w:rPr>
                <w:rFonts w:hint="eastAsia" w:ascii="宋体" w:hAnsi="宋体" w:cs="宋体"/>
                <w:sz w:val="24"/>
              </w:rPr>
              <w:t>390000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712624">
            <w:pPr>
              <w:jc w:val="center"/>
              <w:rPr>
                <w:rFonts w:hint="eastAsia" w:ascii="宋体" w:hAnsi="宋体" w:cs="宋体"/>
                <w:sz w:val="24"/>
              </w:rPr>
            </w:pPr>
          </w:p>
        </w:tc>
      </w:tr>
      <w:tr w14:paraId="5516E2F2">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497463E5">
            <w:pPr>
              <w:snapToGrid w:val="0"/>
              <w:jc w:val="center"/>
              <w:rPr>
                <w:rFonts w:hint="eastAsia" w:ascii="宋体" w:hAnsi="宋体" w:cs="宋体"/>
                <w:sz w:val="24"/>
              </w:rPr>
            </w:pPr>
            <w:r>
              <w:rPr>
                <w:rFonts w:hint="eastAsia" w:ascii="宋体" w:hAnsi="宋体" w:cs="宋体"/>
                <w:sz w:val="24"/>
              </w:rPr>
              <w:t>4</w:t>
            </w:r>
          </w:p>
        </w:tc>
        <w:tc>
          <w:tcPr>
            <w:tcW w:w="2820" w:type="dxa"/>
            <w:tcBorders>
              <w:top w:val="single" w:color="000000" w:sz="4" w:space="0"/>
              <w:left w:val="single" w:color="000000" w:sz="4" w:space="0"/>
              <w:bottom w:val="single" w:color="000000" w:sz="4" w:space="0"/>
              <w:right w:val="single" w:color="000000" w:sz="4" w:space="0"/>
            </w:tcBorders>
            <w:vAlign w:val="center"/>
          </w:tcPr>
          <w:p w14:paraId="11292987">
            <w:pPr>
              <w:snapToGrid w:val="0"/>
              <w:jc w:val="center"/>
              <w:rPr>
                <w:rFonts w:hint="eastAsia" w:ascii="宋体" w:hAnsi="宋体" w:cs="宋体"/>
                <w:sz w:val="24"/>
              </w:rPr>
            </w:pPr>
            <w:r>
              <w:rPr>
                <w:rFonts w:hint="eastAsia" w:ascii="宋体" w:hAnsi="宋体" w:cs="宋体"/>
                <w:sz w:val="24"/>
              </w:rPr>
              <w:t>全自动氨氮测定仪</w:t>
            </w:r>
          </w:p>
        </w:tc>
        <w:tc>
          <w:tcPr>
            <w:tcW w:w="1200" w:type="dxa"/>
            <w:tcBorders>
              <w:top w:val="single" w:color="000000" w:sz="4" w:space="0"/>
              <w:left w:val="single" w:color="000000" w:sz="4" w:space="0"/>
              <w:bottom w:val="single" w:color="000000" w:sz="4" w:space="0"/>
              <w:right w:val="single" w:color="000000" w:sz="4" w:space="0"/>
            </w:tcBorders>
            <w:vAlign w:val="center"/>
          </w:tcPr>
          <w:p w14:paraId="732AD1A5">
            <w:pPr>
              <w:snapToGrid w:val="0"/>
              <w:jc w:val="center"/>
              <w:rPr>
                <w:rFonts w:hint="eastAsia" w:ascii="宋体" w:hAnsi="宋体" w:cs="宋体"/>
                <w:sz w:val="24"/>
              </w:rPr>
            </w:pPr>
            <w:r>
              <w:rPr>
                <w:rFonts w:hint="eastAsia" w:ascii="宋体" w:hAnsi="宋体" w:cs="宋体"/>
                <w:sz w:val="24"/>
              </w:rPr>
              <w:t>1</w:t>
            </w:r>
          </w:p>
        </w:tc>
        <w:tc>
          <w:tcPr>
            <w:tcW w:w="1635" w:type="dxa"/>
            <w:tcBorders>
              <w:top w:val="single" w:color="000000" w:sz="4" w:space="0"/>
              <w:left w:val="single" w:color="000000" w:sz="4" w:space="0"/>
              <w:bottom w:val="single" w:color="000000" w:sz="4" w:space="0"/>
              <w:right w:val="single" w:color="000000" w:sz="4" w:space="0"/>
            </w:tcBorders>
            <w:vAlign w:val="center"/>
          </w:tcPr>
          <w:p w14:paraId="4CB98A39">
            <w:pPr>
              <w:snapToGrid w:val="0"/>
              <w:jc w:val="center"/>
              <w:rPr>
                <w:rFonts w:hint="eastAsia" w:ascii="宋体" w:hAnsi="宋体" w:cs="宋体"/>
                <w:sz w:val="24"/>
              </w:rPr>
            </w:pPr>
            <w:r>
              <w:rPr>
                <w:rFonts w:hint="eastAsia" w:ascii="宋体" w:hAnsi="宋体" w:cs="宋体"/>
                <w:sz w:val="24"/>
              </w:rPr>
              <w:t>190000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04F87A1D">
            <w:pPr>
              <w:snapToGrid w:val="0"/>
              <w:jc w:val="center"/>
              <w:rPr>
                <w:rFonts w:hint="eastAsia" w:ascii="宋体" w:hAnsi="宋体" w:cs="宋体"/>
                <w:sz w:val="24"/>
              </w:rPr>
            </w:pPr>
            <w:r>
              <w:rPr>
                <w:rFonts w:hint="eastAsia" w:ascii="宋体" w:hAnsi="宋体" w:cs="宋体"/>
                <w:sz w:val="24"/>
              </w:rPr>
              <w:t>190000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715000">
            <w:pPr>
              <w:jc w:val="center"/>
              <w:rPr>
                <w:rFonts w:hint="eastAsia" w:ascii="宋体" w:hAnsi="宋体" w:cs="宋体"/>
                <w:sz w:val="24"/>
              </w:rPr>
            </w:pPr>
          </w:p>
        </w:tc>
      </w:tr>
      <w:tr w14:paraId="47D89031">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6A0D3AAC">
            <w:pPr>
              <w:snapToGrid w:val="0"/>
              <w:jc w:val="center"/>
              <w:rPr>
                <w:rFonts w:hint="eastAsia" w:ascii="宋体" w:hAnsi="宋体" w:cs="宋体"/>
                <w:sz w:val="24"/>
              </w:rPr>
            </w:pPr>
            <w:r>
              <w:rPr>
                <w:rFonts w:hint="eastAsia" w:ascii="宋体" w:hAnsi="宋体" w:cs="宋体"/>
                <w:sz w:val="24"/>
              </w:rPr>
              <w:t>5</w:t>
            </w:r>
          </w:p>
        </w:tc>
        <w:tc>
          <w:tcPr>
            <w:tcW w:w="2820" w:type="dxa"/>
            <w:tcBorders>
              <w:top w:val="single" w:color="000000" w:sz="4" w:space="0"/>
              <w:left w:val="single" w:color="000000" w:sz="4" w:space="0"/>
              <w:bottom w:val="single" w:color="000000" w:sz="4" w:space="0"/>
              <w:right w:val="single" w:color="000000" w:sz="4" w:space="0"/>
            </w:tcBorders>
            <w:vAlign w:val="center"/>
          </w:tcPr>
          <w:p w14:paraId="1890D3BF">
            <w:pPr>
              <w:snapToGrid w:val="0"/>
              <w:jc w:val="center"/>
              <w:rPr>
                <w:rFonts w:hint="eastAsia" w:ascii="宋体" w:hAnsi="宋体" w:cs="宋体"/>
                <w:sz w:val="24"/>
              </w:rPr>
            </w:pPr>
            <w:r>
              <w:rPr>
                <w:rFonts w:hint="eastAsia" w:ascii="宋体" w:hAnsi="宋体" w:cs="宋体"/>
                <w:sz w:val="24"/>
              </w:rPr>
              <w:t>全自动高锰酸盐指数分析仪</w:t>
            </w:r>
          </w:p>
        </w:tc>
        <w:tc>
          <w:tcPr>
            <w:tcW w:w="1200" w:type="dxa"/>
            <w:tcBorders>
              <w:top w:val="single" w:color="000000" w:sz="4" w:space="0"/>
              <w:left w:val="single" w:color="000000" w:sz="4" w:space="0"/>
              <w:bottom w:val="single" w:color="000000" w:sz="4" w:space="0"/>
              <w:right w:val="single" w:color="000000" w:sz="4" w:space="0"/>
            </w:tcBorders>
            <w:vAlign w:val="center"/>
          </w:tcPr>
          <w:p w14:paraId="0717F226">
            <w:pPr>
              <w:snapToGrid w:val="0"/>
              <w:jc w:val="center"/>
              <w:rPr>
                <w:rFonts w:hint="eastAsia" w:ascii="宋体" w:hAnsi="宋体" w:cs="宋体"/>
                <w:sz w:val="24"/>
              </w:rPr>
            </w:pPr>
            <w:r>
              <w:rPr>
                <w:rFonts w:hint="eastAsia" w:ascii="宋体" w:hAnsi="宋体" w:cs="宋体"/>
                <w:sz w:val="24"/>
              </w:rPr>
              <w:t>1</w:t>
            </w:r>
          </w:p>
        </w:tc>
        <w:tc>
          <w:tcPr>
            <w:tcW w:w="1635" w:type="dxa"/>
            <w:tcBorders>
              <w:top w:val="single" w:color="000000" w:sz="4" w:space="0"/>
              <w:left w:val="single" w:color="000000" w:sz="4" w:space="0"/>
              <w:bottom w:val="single" w:color="000000" w:sz="4" w:space="0"/>
              <w:right w:val="single" w:color="000000" w:sz="4" w:space="0"/>
            </w:tcBorders>
            <w:vAlign w:val="center"/>
          </w:tcPr>
          <w:p w14:paraId="3CB15247">
            <w:pPr>
              <w:snapToGrid w:val="0"/>
              <w:jc w:val="center"/>
              <w:rPr>
                <w:rFonts w:hint="eastAsia" w:ascii="宋体" w:hAnsi="宋体" w:cs="宋体"/>
                <w:sz w:val="24"/>
              </w:rPr>
            </w:pPr>
            <w:r>
              <w:rPr>
                <w:rFonts w:hint="eastAsia" w:ascii="宋体" w:hAnsi="宋体" w:cs="宋体"/>
                <w:sz w:val="24"/>
              </w:rPr>
              <w:t>170000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79AE49A7">
            <w:pPr>
              <w:snapToGrid w:val="0"/>
              <w:jc w:val="center"/>
              <w:rPr>
                <w:rFonts w:hint="eastAsia" w:ascii="宋体" w:hAnsi="宋体" w:cs="宋体"/>
                <w:sz w:val="24"/>
              </w:rPr>
            </w:pPr>
            <w:r>
              <w:rPr>
                <w:rFonts w:hint="eastAsia" w:ascii="宋体" w:hAnsi="宋体" w:cs="宋体"/>
                <w:sz w:val="24"/>
              </w:rPr>
              <w:t>170000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4C8008">
            <w:pPr>
              <w:jc w:val="center"/>
              <w:rPr>
                <w:rFonts w:hint="eastAsia" w:ascii="宋体" w:hAnsi="宋体" w:cs="宋体"/>
                <w:sz w:val="24"/>
              </w:rPr>
            </w:pPr>
          </w:p>
        </w:tc>
      </w:tr>
      <w:tr w14:paraId="73BD064C">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5A20871C">
            <w:pPr>
              <w:snapToGrid w:val="0"/>
              <w:jc w:val="center"/>
              <w:rPr>
                <w:rFonts w:hint="eastAsia" w:ascii="宋体" w:hAnsi="宋体" w:cs="宋体"/>
                <w:sz w:val="24"/>
              </w:rPr>
            </w:pPr>
            <w:r>
              <w:rPr>
                <w:rFonts w:hint="eastAsia" w:ascii="宋体" w:hAnsi="宋体" w:cs="宋体"/>
                <w:sz w:val="24"/>
              </w:rPr>
              <w:t>6</w:t>
            </w:r>
          </w:p>
        </w:tc>
        <w:tc>
          <w:tcPr>
            <w:tcW w:w="2820" w:type="dxa"/>
            <w:tcBorders>
              <w:top w:val="single" w:color="000000" w:sz="4" w:space="0"/>
              <w:left w:val="single" w:color="000000" w:sz="4" w:space="0"/>
              <w:bottom w:val="single" w:color="000000" w:sz="4" w:space="0"/>
              <w:right w:val="single" w:color="000000" w:sz="4" w:space="0"/>
            </w:tcBorders>
            <w:vAlign w:val="center"/>
          </w:tcPr>
          <w:p w14:paraId="2CEC18D0">
            <w:pPr>
              <w:snapToGrid w:val="0"/>
              <w:jc w:val="center"/>
              <w:rPr>
                <w:rFonts w:hint="eastAsia" w:ascii="宋体" w:hAnsi="宋体" w:cs="宋体"/>
                <w:sz w:val="24"/>
              </w:rPr>
            </w:pPr>
            <w:r>
              <w:rPr>
                <w:rFonts w:hint="eastAsia" w:ascii="宋体" w:hAnsi="宋体" w:cs="宋体"/>
                <w:sz w:val="24"/>
              </w:rPr>
              <w:t>全自动COD测定仪</w:t>
            </w:r>
          </w:p>
        </w:tc>
        <w:tc>
          <w:tcPr>
            <w:tcW w:w="1200" w:type="dxa"/>
            <w:tcBorders>
              <w:top w:val="single" w:color="000000" w:sz="4" w:space="0"/>
              <w:left w:val="single" w:color="000000" w:sz="4" w:space="0"/>
              <w:bottom w:val="single" w:color="000000" w:sz="4" w:space="0"/>
              <w:right w:val="single" w:color="000000" w:sz="4" w:space="0"/>
            </w:tcBorders>
            <w:vAlign w:val="center"/>
          </w:tcPr>
          <w:p w14:paraId="78809CA8">
            <w:pPr>
              <w:snapToGrid w:val="0"/>
              <w:jc w:val="center"/>
              <w:rPr>
                <w:rFonts w:hint="eastAsia" w:ascii="宋体" w:hAnsi="宋体" w:cs="宋体"/>
                <w:sz w:val="24"/>
              </w:rPr>
            </w:pPr>
            <w:r>
              <w:rPr>
                <w:rFonts w:hint="eastAsia" w:ascii="宋体" w:hAnsi="宋体" w:cs="宋体"/>
                <w:sz w:val="24"/>
              </w:rPr>
              <w:t>1</w:t>
            </w:r>
          </w:p>
        </w:tc>
        <w:tc>
          <w:tcPr>
            <w:tcW w:w="1635" w:type="dxa"/>
            <w:tcBorders>
              <w:top w:val="single" w:color="000000" w:sz="4" w:space="0"/>
              <w:left w:val="single" w:color="000000" w:sz="4" w:space="0"/>
              <w:bottom w:val="single" w:color="000000" w:sz="4" w:space="0"/>
              <w:right w:val="single" w:color="000000" w:sz="4" w:space="0"/>
            </w:tcBorders>
            <w:vAlign w:val="center"/>
          </w:tcPr>
          <w:p w14:paraId="7906C29A">
            <w:pPr>
              <w:snapToGrid w:val="0"/>
              <w:jc w:val="center"/>
              <w:rPr>
                <w:rFonts w:hint="eastAsia" w:ascii="宋体" w:hAnsi="宋体" w:cs="宋体"/>
                <w:sz w:val="24"/>
              </w:rPr>
            </w:pPr>
            <w:r>
              <w:rPr>
                <w:rFonts w:hint="eastAsia" w:ascii="宋体" w:hAnsi="宋体" w:cs="宋体"/>
                <w:sz w:val="24"/>
              </w:rPr>
              <w:t>190000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13648B9A">
            <w:pPr>
              <w:snapToGrid w:val="0"/>
              <w:jc w:val="center"/>
              <w:rPr>
                <w:rFonts w:hint="eastAsia" w:ascii="宋体" w:hAnsi="宋体" w:cs="宋体"/>
                <w:sz w:val="24"/>
              </w:rPr>
            </w:pPr>
            <w:r>
              <w:rPr>
                <w:rFonts w:hint="eastAsia" w:ascii="宋体" w:hAnsi="宋体" w:cs="宋体"/>
                <w:sz w:val="24"/>
              </w:rPr>
              <w:t>190000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4C5DF4">
            <w:pPr>
              <w:jc w:val="center"/>
              <w:rPr>
                <w:rFonts w:hint="eastAsia" w:ascii="宋体" w:hAnsi="宋体" w:cs="宋体"/>
                <w:sz w:val="24"/>
              </w:rPr>
            </w:pPr>
          </w:p>
        </w:tc>
      </w:tr>
      <w:tr w14:paraId="2CEAEE2E">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35A77557">
            <w:pPr>
              <w:snapToGrid w:val="0"/>
              <w:jc w:val="center"/>
              <w:rPr>
                <w:rFonts w:hint="eastAsia" w:ascii="宋体" w:hAnsi="宋体" w:cs="宋体"/>
                <w:sz w:val="24"/>
              </w:rPr>
            </w:pPr>
            <w:r>
              <w:rPr>
                <w:rFonts w:hint="eastAsia" w:ascii="宋体" w:hAnsi="宋体" w:cs="宋体"/>
                <w:sz w:val="24"/>
              </w:rPr>
              <w:t>7</w:t>
            </w:r>
          </w:p>
        </w:tc>
        <w:tc>
          <w:tcPr>
            <w:tcW w:w="2820" w:type="dxa"/>
            <w:tcBorders>
              <w:top w:val="single" w:color="000000" w:sz="4" w:space="0"/>
              <w:left w:val="single" w:color="000000" w:sz="4" w:space="0"/>
              <w:bottom w:val="single" w:color="000000" w:sz="4" w:space="0"/>
              <w:right w:val="single" w:color="000000" w:sz="4" w:space="0"/>
            </w:tcBorders>
            <w:vAlign w:val="center"/>
          </w:tcPr>
          <w:p w14:paraId="744D5B73">
            <w:pPr>
              <w:snapToGrid w:val="0"/>
              <w:jc w:val="center"/>
              <w:rPr>
                <w:rFonts w:hint="eastAsia" w:ascii="宋体" w:hAnsi="宋体" w:cs="宋体"/>
                <w:sz w:val="24"/>
              </w:rPr>
            </w:pPr>
            <w:r>
              <w:rPr>
                <w:rFonts w:hint="eastAsia" w:ascii="宋体" w:hAnsi="宋体" w:cs="宋体"/>
                <w:sz w:val="24"/>
              </w:rPr>
              <w:t>离子色谱仪</w:t>
            </w:r>
          </w:p>
        </w:tc>
        <w:tc>
          <w:tcPr>
            <w:tcW w:w="1200" w:type="dxa"/>
            <w:tcBorders>
              <w:top w:val="single" w:color="000000" w:sz="4" w:space="0"/>
              <w:left w:val="single" w:color="000000" w:sz="4" w:space="0"/>
              <w:bottom w:val="single" w:color="000000" w:sz="4" w:space="0"/>
              <w:right w:val="single" w:color="000000" w:sz="4" w:space="0"/>
            </w:tcBorders>
            <w:vAlign w:val="center"/>
          </w:tcPr>
          <w:p w14:paraId="56BA4A9B">
            <w:pPr>
              <w:snapToGrid w:val="0"/>
              <w:jc w:val="center"/>
              <w:rPr>
                <w:rFonts w:hint="eastAsia" w:ascii="宋体" w:hAnsi="宋体" w:cs="宋体"/>
                <w:sz w:val="24"/>
              </w:rPr>
            </w:pPr>
            <w:r>
              <w:rPr>
                <w:rFonts w:hint="eastAsia" w:ascii="宋体" w:hAnsi="宋体" w:cs="宋体"/>
                <w:sz w:val="24"/>
              </w:rPr>
              <w:t>1</w:t>
            </w:r>
          </w:p>
        </w:tc>
        <w:tc>
          <w:tcPr>
            <w:tcW w:w="1635" w:type="dxa"/>
            <w:tcBorders>
              <w:top w:val="single" w:color="000000" w:sz="4" w:space="0"/>
              <w:left w:val="single" w:color="000000" w:sz="4" w:space="0"/>
              <w:bottom w:val="single" w:color="000000" w:sz="4" w:space="0"/>
              <w:right w:val="single" w:color="000000" w:sz="4" w:space="0"/>
            </w:tcBorders>
            <w:vAlign w:val="center"/>
          </w:tcPr>
          <w:p w14:paraId="43CCF1A7">
            <w:pPr>
              <w:snapToGrid w:val="0"/>
              <w:jc w:val="center"/>
              <w:rPr>
                <w:rFonts w:hint="eastAsia" w:ascii="宋体" w:hAnsi="宋体" w:cs="宋体"/>
                <w:sz w:val="24"/>
              </w:rPr>
            </w:pPr>
            <w:r>
              <w:rPr>
                <w:rFonts w:hint="eastAsia" w:ascii="宋体" w:hAnsi="宋体" w:cs="宋体"/>
                <w:sz w:val="24"/>
              </w:rPr>
              <w:t>210000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285F693D">
            <w:pPr>
              <w:snapToGrid w:val="0"/>
              <w:jc w:val="center"/>
              <w:rPr>
                <w:rFonts w:hint="eastAsia" w:ascii="宋体" w:hAnsi="宋体" w:cs="宋体"/>
                <w:sz w:val="24"/>
              </w:rPr>
            </w:pPr>
            <w:r>
              <w:rPr>
                <w:rFonts w:hint="eastAsia" w:ascii="宋体" w:hAnsi="宋体" w:cs="宋体"/>
                <w:sz w:val="24"/>
              </w:rPr>
              <w:t>210000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550D44">
            <w:pPr>
              <w:jc w:val="center"/>
              <w:rPr>
                <w:rFonts w:hint="eastAsia" w:ascii="宋体" w:hAnsi="宋体" w:cs="宋体"/>
                <w:sz w:val="24"/>
              </w:rPr>
            </w:pPr>
          </w:p>
        </w:tc>
      </w:tr>
      <w:tr w14:paraId="59E17634">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4BC01395">
            <w:pPr>
              <w:snapToGrid w:val="0"/>
              <w:jc w:val="center"/>
              <w:rPr>
                <w:rFonts w:hint="eastAsia" w:ascii="宋体" w:hAnsi="宋体" w:cs="宋体"/>
                <w:sz w:val="24"/>
              </w:rPr>
            </w:pPr>
            <w:r>
              <w:rPr>
                <w:rFonts w:hint="eastAsia" w:ascii="宋体" w:hAnsi="宋体" w:cs="宋体"/>
                <w:sz w:val="24"/>
              </w:rPr>
              <w:t>8</w:t>
            </w:r>
          </w:p>
        </w:tc>
        <w:tc>
          <w:tcPr>
            <w:tcW w:w="2820" w:type="dxa"/>
            <w:tcBorders>
              <w:top w:val="single" w:color="000000" w:sz="4" w:space="0"/>
              <w:left w:val="single" w:color="000000" w:sz="4" w:space="0"/>
              <w:bottom w:val="single" w:color="000000" w:sz="4" w:space="0"/>
              <w:right w:val="single" w:color="000000" w:sz="4" w:space="0"/>
            </w:tcBorders>
            <w:vAlign w:val="center"/>
          </w:tcPr>
          <w:p w14:paraId="22BC0FCD">
            <w:pPr>
              <w:snapToGrid w:val="0"/>
              <w:jc w:val="center"/>
              <w:rPr>
                <w:rFonts w:hint="eastAsia" w:ascii="宋体" w:hAnsi="宋体" w:cs="宋体"/>
                <w:sz w:val="24"/>
              </w:rPr>
            </w:pPr>
            <w:r>
              <w:rPr>
                <w:rFonts w:hint="eastAsia" w:ascii="宋体" w:hAnsi="宋体" w:cs="宋体"/>
                <w:sz w:val="24"/>
              </w:rPr>
              <w:t>超纯水机</w:t>
            </w:r>
          </w:p>
        </w:tc>
        <w:tc>
          <w:tcPr>
            <w:tcW w:w="1200" w:type="dxa"/>
            <w:tcBorders>
              <w:top w:val="single" w:color="000000" w:sz="4" w:space="0"/>
              <w:left w:val="single" w:color="000000" w:sz="4" w:space="0"/>
              <w:bottom w:val="single" w:color="000000" w:sz="4" w:space="0"/>
              <w:right w:val="single" w:color="000000" w:sz="4" w:space="0"/>
            </w:tcBorders>
            <w:vAlign w:val="center"/>
          </w:tcPr>
          <w:p w14:paraId="23B6E8B1">
            <w:pPr>
              <w:snapToGrid w:val="0"/>
              <w:jc w:val="center"/>
              <w:rPr>
                <w:rFonts w:hint="eastAsia" w:ascii="宋体" w:hAnsi="宋体" w:cs="宋体"/>
                <w:sz w:val="24"/>
              </w:rPr>
            </w:pPr>
            <w:r>
              <w:rPr>
                <w:rFonts w:hint="eastAsia" w:ascii="宋体" w:hAnsi="宋体" w:cs="宋体"/>
                <w:sz w:val="24"/>
              </w:rPr>
              <w:t>1</w:t>
            </w:r>
          </w:p>
        </w:tc>
        <w:tc>
          <w:tcPr>
            <w:tcW w:w="1635" w:type="dxa"/>
            <w:tcBorders>
              <w:top w:val="single" w:color="000000" w:sz="4" w:space="0"/>
              <w:left w:val="single" w:color="000000" w:sz="4" w:space="0"/>
              <w:bottom w:val="single" w:color="000000" w:sz="4" w:space="0"/>
              <w:right w:val="single" w:color="000000" w:sz="4" w:space="0"/>
            </w:tcBorders>
            <w:vAlign w:val="center"/>
          </w:tcPr>
          <w:p w14:paraId="3B099123">
            <w:pPr>
              <w:snapToGrid w:val="0"/>
              <w:jc w:val="center"/>
              <w:rPr>
                <w:rFonts w:hint="eastAsia" w:ascii="宋体" w:hAnsi="宋体" w:cs="宋体"/>
                <w:sz w:val="24"/>
              </w:rPr>
            </w:pPr>
            <w:r>
              <w:rPr>
                <w:rFonts w:hint="eastAsia" w:ascii="宋体" w:hAnsi="宋体" w:cs="宋体"/>
                <w:sz w:val="24"/>
              </w:rPr>
              <w:t>19000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7911C673">
            <w:pPr>
              <w:snapToGrid w:val="0"/>
              <w:jc w:val="center"/>
              <w:rPr>
                <w:rFonts w:hint="eastAsia" w:ascii="宋体" w:hAnsi="宋体" w:cs="宋体"/>
                <w:sz w:val="24"/>
              </w:rPr>
            </w:pPr>
            <w:r>
              <w:rPr>
                <w:rFonts w:hint="eastAsia" w:ascii="宋体" w:hAnsi="宋体" w:cs="宋体"/>
                <w:sz w:val="24"/>
              </w:rPr>
              <w:t>19000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F728B5">
            <w:pPr>
              <w:jc w:val="center"/>
              <w:rPr>
                <w:rFonts w:hint="eastAsia" w:ascii="宋体" w:hAnsi="宋体" w:cs="宋体"/>
                <w:sz w:val="24"/>
              </w:rPr>
            </w:pPr>
          </w:p>
        </w:tc>
      </w:tr>
      <w:tr w14:paraId="631F0A90">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3980898D">
            <w:pPr>
              <w:snapToGrid w:val="0"/>
              <w:jc w:val="center"/>
              <w:rPr>
                <w:rFonts w:hint="eastAsia" w:ascii="宋体" w:hAnsi="宋体" w:cs="宋体"/>
                <w:sz w:val="24"/>
              </w:rPr>
            </w:pPr>
            <w:r>
              <w:rPr>
                <w:rFonts w:hint="eastAsia" w:ascii="宋体" w:hAnsi="宋体" w:cs="宋体"/>
                <w:sz w:val="24"/>
              </w:rPr>
              <w:t>9</w:t>
            </w:r>
          </w:p>
        </w:tc>
        <w:tc>
          <w:tcPr>
            <w:tcW w:w="2820" w:type="dxa"/>
            <w:tcBorders>
              <w:top w:val="single" w:color="000000" w:sz="4" w:space="0"/>
              <w:left w:val="single" w:color="000000" w:sz="4" w:space="0"/>
              <w:bottom w:val="single" w:color="000000" w:sz="4" w:space="0"/>
              <w:right w:val="single" w:color="000000" w:sz="4" w:space="0"/>
            </w:tcBorders>
            <w:vAlign w:val="center"/>
          </w:tcPr>
          <w:p w14:paraId="1329A5D7">
            <w:pPr>
              <w:snapToGrid w:val="0"/>
              <w:jc w:val="center"/>
              <w:rPr>
                <w:rFonts w:hint="eastAsia" w:ascii="宋体" w:hAnsi="宋体" w:cs="宋体"/>
                <w:sz w:val="24"/>
              </w:rPr>
            </w:pPr>
            <w:r>
              <w:rPr>
                <w:rFonts w:hint="eastAsia" w:ascii="宋体" w:hAnsi="宋体" w:cs="宋体"/>
                <w:sz w:val="24"/>
              </w:rPr>
              <w:t>便携式抽滤装置</w:t>
            </w:r>
          </w:p>
        </w:tc>
        <w:tc>
          <w:tcPr>
            <w:tcW w:w="1200" w:type="dxa"/>
            <w:tcBorders>
              <w:top w:val="single" w:color="000000" w:sz="4" w:space="0"/>
              <w:left w:val="single" w:color="000000" w:sz="4" w:space="0"/>
              <w:bottom w:val="single" w:color="000000" w:sz="4" w:space="0"/>
              <w:right w:val="single" w:color="000000" w:sz="4" w:space="0"/>
            </w:tcBorders>
            <w:vAlign w:val="center"/>
          </w:tcPr>
          <w:p w14:paraId="3FCBE4C0">
            <w:pPr>
              <w:snapToGrid w:val="0"/>
              <w:jc w:val="center"/>
              <w:rPr>
                <w:rFonts w:hint="eastAsia" w:ascii="宋体" w:hAnsi="宋体" w:cs="宋体"/>
                <w:sz w:val="24"/>
              </w:rPr>
            </w:pPr>
            <w:r>
              <w:rPr>
                <w:rFonts w:hint="eastAsia" w:ascii="宋体" w:hAnsi="宋体" w:cs="宋体"/>
                <w:sz w:val="24"/>
              </w:rPr>
              <w:t>4</w:t>
            </w:r>
          </w:p>
        </w:tc>
        <w:tc>
          <w:tcPr>
            <w:tcW w:w="1635" w:type="dxa"/>
            <w:tcBorders>
              <w:top w:val="single" w:color="000000" w:sz="4" w:space="0"/>
              <w:left w:val="single" w:color="000000" w:sz="4" w:space="0"/>
              <w:bottom w:val="single" w:color="000000" w:sz="4" w:space="0"/>
              <w:right w:val="single" w:color="000000" w:sz="4" w:space="0"/>
            </w:tcBorders>
            <w:vAlign w:val="center"/>
          </w:tcPr>
          <w:p w14:paraId="0C1363B5">
            <w:pPr>
              <w:snapToGrid w:val="0"/>
              <w:jc w:val="center"/>
              <w:rPr>
                <w:rFonts w:hint="eastAsia" w:ascii="宋体" w:hAnsi="宋体" w:cs="宋体"/>
                <w:sz w:val="24"/>
              </w:rPr>
            </w:pPr>
            <w:r>
              <w:rPr>
                <w:rFonts w:hint="eastAsia" w:ascii="宋体" w:hAnsi="宋体" w:cs="宋体"/>
                <w:sz w:val="24"/>
              </w:rPr>
              <w:t>8000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5EE4D4F1">
            <w:pPr>
              <w:snapToGrid w:val="0"/>
              <w:jc w:val="center"/>
              <w:rPr>
                <w:rFonts w:hint="eastAsia" w:ascii="宋体" w:hAnsi="宋体" w:cs="宋体"/>
                <w:sz w:val="24"/>
              </w:rPr>
            </w:pPr>
            <w:r>
              <w:rPr>
                <w:rFonts w:hint="eastAsia" w:ascii="宋体" w:hAnsi="宋体" w:cs="宋体"/>
                <w:sz w:val="24"/>
              </w:rPr>
              <w:t>32000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CA189E">
            <w:pPr>
              <w:jc w:val="center"/>
              <w:rPr>
                <w:rFonts w:hint="eastAsia" w:ascii="宋体" w:hAnsi="宋体" w:cs="宋体"/>
                <w:sz w:val="24"/>
              </w:rPr>
            </w:pPr>
          </w:p>
        </w:tc>
      </w:tr>
      <w:tr w14:paraId="63785377">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38E513C0">
            <w:pPr>
              <w:snapToGrid w:val="0"/>
              <w:jc w:val="center"/>
              <w:rPr>
                <w:rFonts w:hint="eastAsia" w:ascii="宋体" w:hAnsi="宋体" w:cs="宋体"/>
                <w:sz w:val="24"/>
              </w:rPr>
            </w:pPr>
            <w:r>
              <w:rPr>
                <w:rFonts w:hint="eastAsia" w:ascii="宋体" w:hAnsi="宋体" w:cs="宋体"/>
                <w:sz w:val="24"/>
              </w:rPr>
              <w:t>10</w:t>
            </w:r>
          </w:p>
        </w:tc>
        <w:tc>
          <w:tcPr>
            <w:tcW w:w="2820" w:type="dxa"/>
            <w:tcBorders>
              <w:top w:val="single" w:color="000000" w:sz="4" w:space="0"/>
              <w:left w:val="single" w:color="000000" w:sz="4" w:space="0"/>
              <w:bottom w:val="single" w:color="000000" w:sz="4" w:space="0"/>
              <w:right w:val="single" w:color="000000" w:sz="4" w:space="0"/>
            </w:tcBorders>
            <w:vAlign w:val="center"/>
          </w:tcPr>
          <w:p w14:paraId="473373A2">
            <w:pPr>
              <w:snapToGrid w:val="0"/>
              <w:jc w:val="center"/>
              <w:rPr>
                <w:rFonts w:hint="eastAsia" w:ascii="宋体" w:hAnsi="宋体" w:cs="宋体"/>
                <w:sz w:val="24"/>
              </w:rPr>
            </w:pPr>
            <w:r>
              <w:rPr>
                <w:rFonts w:hint="eastAsia" w:ascii="宋体" w:hAnsi="宋体" w:cs="宋体"/>
                <w:sz w:val="24"/>
              </w:rPr>
              <w:t>便携式离心机</w:t>
            </w:r>
          </w:p>
        </w:tc>
        <w:tc>
          <w:tcPr>
            <w:tcW w:w="1200" w:type="dxa"/>
            <w:tcBorders>
              <w:top w:val="single" w:color="000000" w:sz="4" w:space="0"/>
              <w:left w:val="single" w:color="000000" w:sz="4" w:space="0"/>
              <w:bottom w:val="single" w:color="000000" w:sz="4" w:space="0"/>
              <w:right w:val="single" w:color="000000" w:sz="4" w:space="0"/>
            </w:tcBorders>
            <w:vAlign w:val="center"/>
          </w:tcPr>
          <w:p w14:paraId="1BE7E140">
            <w:pPr>
              <w:snapToGrid w:val="0"/>
              <w:jc w:val="center"/>
              <w:rPr>
                <w:rFonts w:hint="eastAsia" w:ascii="宋体" w:hAnsi="宋体" w:cs="宋体"/>
                <w:sz w:val="24"/>
              </w:rPr>
            </w:pPr>
            <w:r>
              <w:rPr>
                <w:rFonts w:hint="eastAsia" w:ascii="宋体" w:hAnsi="宋体" w:cs="宋体"/>
                <w:sz w:val="24"/>
              </w:rPr>
              <w:t>3</w:t>
            </w:r>
          </w:p>
        </w:tc>
        <w:tc>
          <w:tcPr>
            <w:tcW w:w="1635" w:type="dxa"/>
            <w:tcBorders>
              <w:top w:val="single" w:color="000000" w:sz="4" w:space="0"/>
              <w:left w:val="single" w:color="000000" w:sz="4" w:space="0"/>
              <w:bottom w:val="single" w:color="000000" w:sz="4" w:space="0"/>
              <w:right w:val="single" w:color="000000" w:sz="4" w:space="0"/>
            </w:tcBorders>
            <w:vAlign w:val="center"/>
          </w:tcPr>
          <w:p w14:paraId="29B90E19">
            <w:pPr>
              <w:snapToGrid w:val="0"/>
              <w:jc w:val="center"/>
              <w:rPr>
                <w:rFonts w:hint="eastAsia" w:ascii="宋体" w:hAnsi="宋体" w:cs="宋体"/>
                <w:sz w:val="24"/>
              </w:rPr>
            </w:pPr>
            <w:r>
              <w:rPr>
                <w:rFonts w:hint="eastAsia" w:ascii="宋体" w:hAnsi="宋体" w:cs="宋体"/>
                <w:sz w:val="24"/>
              </w:rPr>
              <w:t>7000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3B5E9140">
            <w:pPr>
              <w:snapToGrid w:val="0"/>
              <w:jc w:val="center"/>
              <w:rPr>
                <w:rFonts w:hint="eastAsia" w:ascii="宋体" w:hAnsi="宋体" w:cs="宋体"/>
                <w:sz w:val="24"/>
              </w:rPr>
            </w:pPr>
            <w:r>
              <w:rPr>
                <w:rFonts w:hint="eastAsia" w:ascii="宋体" w:hAnsi="宋体" w:cs="宋体"/>
                <w:sz w:val="24"/>
              </w:rPr>
              <w:t>21000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F7189F">
            <w:pPr>
              <w:jc w:val="center"/>
              <w:rPr>
                <w:rFonts w:hint="eastAsia" w:ascii="宋体" w:hAnsi="宋体" w:cs="宋体"/>
                <w:sz w:val="24"/>
              </w:rPr>
            </w:pPr>
          </w:p>
        </w:tc>
      </w:tr>
      <w:tr w14:paraId="2C5991A6">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1A26F5EB">
            <w:pPr>
              <w:snapToGrid w:val="0"/>
              <w:jc w:val="center"/>
              <w:rPr>
                <w:rFonts w:hint="eastAsia" w:ascii="宋体" w:hAnsi="宋体" w:cs="宋体"/>
                <w:sz w:val="24"/>
              </w:rPr>
            </w:pPr>
            <w:r>
              <w:rPr>
                <w:rFonts w:hint="eastAsia" w:ascii="宋体" w:hAnsi="宋体" w:cs="宋体"/>
                <w:sz w:val="24"/>
              </w:rPr>
              <w:t>11</w:t>
            </w:r>
          </w:p>
        </w:tc>
        <w:tc>
          <w:tcPr>
            <w:tcW w:w="2820" w:type="dxa"/>
            <w:tcBorders>
              <w:top w:val="single" w:color="000000" w:sz="4" w:space="0"/>
              <w:left w:val="single" w:color="000000" w:sz="4" w:space="0"/>
              <w:bottom w:val="single" w:color="000000" w:sz="4" w:space="0"/>
              <w:right w:val="single" w:color="000000" w:sz="4" w:space="0"/>
            </w:tcBorders>
            <w:vAlign w:val="center"/>
          </w:tcPr>
          <w:p w14:paraId="63B4EB3F">
            <w:pPr>
              <w:snapToGrid w:val="0"/>
              <w:jc w:val="center"/>
              <w:rPr>
                <w:rFonts w:hint="eastAsia" w:ascii="宋体" w:hAnsi="宋体" w:cs="宋体"/>
                <w:sz w:val="24"/>
              </w:rPr>
            </w:pPr>
            <w:r>
              <w:rPr>
                <w:rFonts w:hint="eastAsia" w:ascii="宋体" w:hAnsi="宋体" w:cs="宋体"/>
                <w:sz w:val="24"/>
              </w:rPr>
              <w:t>红外分光测油仪</w:t>
            </w:r>
          </w:p>
        </w:tc>
        <w:tc>
          <w:tcPr>
            <w:tcW w:w="1200" w:type="dxa"/>
            <w:tcBorders>
              <w:top w:val="single" w:color="000000" w:sz="4" w:space="0"/>
              <w:left w:val="single" w:color="000000" w:sz="4" w:space="0"/>
              <w:bottom w:val="single" w:color="000000" w:sz="4" w:space="0"/>
              <w:right w:val="single" w:color="000000" w:sz="4" w:space="0"/>
            </w:tcBorders>
            <w:vAlign w:val="center"/>
          </w:tcPr>
          <w:p w14:paraId="2EB1B68A">
            <w:pPr>
              <w:snapToGrid w:val="0"/>
              <w:jc w:val="center"/>
              <w:rPr>
                <w:rFonts w:hint="eastAsia" w:ascii="宋体" w:hAnsi="宋体" w:cs="宋体"/>
                <w:sz w:val="24"/>
              </w:rPr>
            </w:pPr>
            <w:r>
              <w:rPr>
                <w:rFonts w:hint="eastAsia" w:ascii="宋体" w:hAnsi="宋体" w:cs="宋体"/>
                <w:sz w:val="24"/>
              </w:rPr>
              <w:t>1</w:t>
            </w:r>
          </w:p>
        </w:tc>
        <w:tc>
          <w:tcPr>
            <w:tcW w:w="1635" w:type="dxa"/>
            <w:tcBorders>
              <w:top w:val="single" w:color="000000" w:sz="4" w:space="0"/>
              <w:left w:val="single" w:color="000000" w:sz="4" w:space="0"/>
              <w:bottom w:val="single" w:color="000000" w:sz="4" w:space="0"/>
              <w:right w:val="single" w:color="000000" w:sz="4" w:space="0"/>
            </w:tcBorders>
            <w:vAlign w:val="center"/>
          </w:tcPr>
          <w:p w14:paraId="72B4A020">
            <w:pPr>
              <w:snapToGrid w:val="0"/>
              <w:jc w:val="center"/>
              <w:rPr>
                <w:rFonts w:hint="eastAsia" w:ascii="宋体" w:hAnsi="宋体" w:cs="宋体"/>
                <w:sz w:val="24"/>
              </w:rPr>
            </w:pPr>
            <w:r>
              <w:rPr>
                <w:rFonts w:hint="eastAsia" w:ascii="宋体" w:hAnsi="宋体" w:cs="宋体"/>
                <w:sz w:val="24"/>
              </w:rPr>
              <w:t>45000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166FDD38">
            <w:pPr>
              <w:snapToGrid w:val="0"/>
              <w:jc w:val="center"/>
              <w:rPr>
                <w:rFonts w:hint="eastAsia" w:ascii="宋体" w:hAnsi="宋体" w:cs="宋体"/>
                <w:sz w:val="24"/>
              </w:rPr>
            </w:pPr>
            <w:r>
              <w:rPr>
                <w:rFonts w:hint="eastAsia" w:ascii="宋体" w:hAnsi="宋体" w:cs="宋体"/>
                <w:sz w:val="24"/>
              </w:rPr>
              <w:t>45000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866EE8">
            <w:pPr>
              <w:jc w:val="center"/>
              <w:rPr>
                <w:rFonts w:hint="eastAsia" w:ascii="宋体" w:hAnsi="宋体" w:cs="宋体"/>
                <w:sz w:val="24"/>
              </w:rPr>
            </w:pPr>
          </w:p>
        </w:tc>
      </w:tr>
      <w:tr w14:paraId="6FFDD459">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03355F35">
            <w:pPr>
              <w:snapToGrid w:val="0"/>
              <w:jc w:val="center"/>
              <w:rPr>
                <w:rFonts w:hint="eastAsia" w:ascii="宋体" w:hAnsi="宋体" w:cs="宋体"/>
                <w:sz w:val="24"/>
              </w:rPr>
            </w:pPr>
            <w:r>
              <w:rPr>
                <w:rFonts w:hint="eastAsia" w:ascii="宋体" w:hAnsi="宋体" w:cs="宋体"/>
                <w:sz w:val="24"/>
              </w:rPr>
              <w:t>12</w:t>
            </w:r>
          </w:p>
        </w:tc>
        <w:tc>
          <w:tcPr>
            <w:tcW w:w="2820" w:type="dxa"/>
            <w:tcBorders>
              <w:top w:val="single" w:color="000000" w:sz="4" w:space="0"/>
              <w:left w:val="single" w:color="000000" w:sz="4" w:space="0"/>
              <w:bottom w:val="single" w:color="000000" w:sz="4" w:space="0"/>
              <w:right w:val="single" w:color="000000" w:sz="4" w:space="0"/>
            </w:tcBorders>
            <w:vAlign w:val="center"/>
          </w:tcPr>
          <w:p w14:paraId="319215D3">
            <w:pPr>
              <w:snapToGrid w:val="0"/>
              <w:jc w:val="center"/>
              <w:rPr>
                <w:rFonts w:hint="eastAsia" w:ascii="宋体" w:hAnsi="宋体" w:cs="宋体"/>
                <w:sz w:val="24"/>
              </w:rPr>
            </w:pPr>
            <w:r>
              <w:rPr>
                <w:rFonts w:hint="eastAsia" w:ascii="宋体" w:hAnsi="宋体" w:cs="宋体"/>
                <w:sz w:val="24"/>
              </w:rPr>
              <w:t>多联不锈钢溶液过滤器</w:t>
            </w:r>
          </w:p>
        </w:tc>
        <w:tc>
          <w:tcPr>
            <w:tcW w:w="1200" w:type="dxa"/>
            <w:tcBorders>
              <w:top w:val="single" w:color="000000" w:sz="4" w:space="0"/>
              <w:left w:val="single" w:color="000000" w:sz="4" w:space="0"/>
              <w:bottom w:val="single" w:color="000000" w:sz="4" w:space="0"/>
              <w:right w:val="single" w:color="000000" w:sz="4" w:space="0"/>
            </w:tcBorders>
            <w:vAlign w:val="center"/>
          </w:tcPr>
          <w:p w14:paraId="4C5C0184">
            <w:pPr>
              <w:snapToGrid w:val="0"/>
              <w:jc w:val="center"/>
              <w:rPr>
                <w:rFonts w:hint="eastAsia" w:ascii="宋体" w:hAnsi="宋体" w:cs="宋体"/>
                <w:sz w:val="24"/>
              </w:rPr>
            </w:pPr>
            <w:r>
              <w:rPr>
                <w:rFonts w:hint="eastAsia" w:ascii="宋体" w:hAnsi="宋体" w:cs="宋体"/>
                <w:sz w:val="24"/>
              </w:rPr>
              <w:t>2</w:t>
            </w:r>
          </w:p>
        </w:tc>
        <w:tc>
          <w:tcPr>
            <w:tcW w:w="1635" w:type="dxa"/>
            <w:tcBorders>
              <w:top w:val="single" w:color="000000" w:sz="4" w:space="0"/>
              <w:left w:val="single" w:color="000000" w:sz="4" w:space="0"/>
              <w:bottom w:val="single" w:color="000000" w:sz="4" w:space="0"/>
              <w:right w:val="single" w:color="000000" w:sz="4" w:space="0"/>
            </w:tcBorders>
            <w:vAlign w:val="center"/>
          </w:tcPr>
          <w:p w14:paraId="00B308D6">
            <w:pPr>
              <w:snapToGrid w:val="0"/>
              <w:jc w:val="center"/>
              <w:rPr>
                <w:rFonts w:hint="eastAsia" w:ascii="宋体" w:hAnsi="宋体" w:cs="宋体"/>
                <w:sz w:val="24"/>
              </w:rPr>
            </w:pPr>
            <w:r>
              <w:rPr>
                <w:rFonts w:hint="eastAsia" w:ascii="宋体" w:hAnsi="宋体" w:cs="宋体"/>
                <w:sz w:val="24"/>
              </w:rPr>
              <w:t>7700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6F66B216">
            <w:pPr>
              <w:snapToGrid w:val="0"/>
              <w:jc w:val="center"/>
              <w:rPr>
                <w:rFonts w:hint="eastAsia" w:ascii="宋体" w:hAnsi="宋体" w:cs="宋体"/>
                <w:sz w:val="24"/>
              </w:rPr>
            </w:pPr>
            <w:r>
              <w:rPr>
                <w:rFonts w:hint="eastAsia" w:ascii="宋体" w:hAnsi="宋体" w:cs="宋体"/>
                <w:sz w:val="24"/>
              </w:rPr>
              <w:t>15400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CAE69C">
            <w:pPr>
              <w:jc w:val="center"/>
              <w:rPr>
                <w:rFonts w:hint="eastAsia" w:ascii="宋体" w:hAnsi="宋体" w:cs="宋体"/>
                <w:sz w:val="24"/>
              </w:rPr>
            </w:pPr>
          </w:p>
        </w:tc>
      </w:tr>
      <w:tr w14:paraId="716F9E5E">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77C846D3">
            <w:pPr>
              <w:snapToGrid w:val="0"/>
              <w:jc w:val="center"/>
              <w:rPr>
                <w:rFonts w:hint="eastAsia" w:ascii="宋体" w:hAnsi="宋体" w:cs="宋体"/>
                <w:sz w:val="24"/>
              </w:rPr>
            </w:pPr>
            <w:r>
              <w:rPr>
                <w:rFonts w:hint="eastAsia" w:ascii="宋体" w:hAnsi="宋体" w:cs="宋体"/>
                <w:sz w:val="24"/>
              </w:rPr>
              <w:t>13</w:t>
            </w:r>
          </w:p>
        </w:tc>
        <w:tc>
          <w:tcPr>
            <w:tcW w:w="2820" w:type="dxa"/>
            <w:tcBorders>
              <w:top w:val="single" w:color="000000" w:sz="4" w:space="0"/>
              <w:left w:val="single" w:color="000000" w:sz="4" w:space="0"/>
              <w:bottom w:val="single" w:color="000000" w:sz="4" w:space="0"/>
              <w:right w:val="single" w:color="000000" w:sz="4" w:space="0"/>
            </w:tcBorders>
            <w:vAlign w:val="center"/>
          </w:tcPr>
          <w:p w14:paraId="59520D74">
            <w:pPr>
              <w:snapToGrid w:val="0"/>
              <w:jc w:val="center"/>
              <w:rPr>
                <w:rFonts w:hint="eastAsia" w:ascii="宋体" w:hAnsi="宋体" w:cs="宋体"/>
                <w:sz w:val="24"/>
              </w:rPr>
            </w:pPr>
            <w:r>
              <w:rPr>
                <w:rFonts w:hint="eastAsia" w:ascii="宋体" w:hAnsi="宋体" w:cs="宋体"/>
                <w:sz w:val="24"/>
              </w:rPr>
              <w:t>实验室污水处理系统</w:t>
            </w:r>
          </w:p>
        </w:tc>
        <w:tc>
          <w:tcPr>
            <w:tcW w:w="1200" w:type="dxa"/>
            <w:tcBorders>
              <w:top w:val="single" w:color="000000" w:sz="4" w:space="0"/>
              <w:left w:val="single" w:color="000000" w:sz="4" w:space="0"/>
              <w:bottom w:val="single" w:color="000000" w:sz="4" w:space="0"/>
              <w:right w:val="single" w:color="000000" w:sz="4" w:space="0"/>
            </w:tcBorders>
            <w:vAlign w:val="center"/>
          </w:tcPr>
          <w:p w14:paraId="3BDAFE45">
            <w:pPr>
              <w:snapToGrid w:val="0"/>
              <w:jc w:val="center"/>
              <w:rPr>
                <w:rFonts w:hint="eastAsia" w:ascii="宋体" w:hAnsi="宋体" w:cs="宋体"/>
                <w:sz w:val="24"/>
              </w:rPr>
            </w:pPr>
            <w:r>
              <w:rPr>
                <w:rFonts w:hint="eastAsia" w:ascii="宋体" w:hAnsi="宋体" w:cs="宋体"/>
                <w:sz w:val="24"/>
              </w:rPr>
              <w:t>1</w:t>
            </w:r>
          </w:p>
        </w:tc>
        <w:tc>
          <w:tcPr>
            <w:tcW w:w="1635" w:type="dxa"/>
            <w:tcBorders>
              <w:top w:val="single" w:color="000000" w:sz="4" w:space="0"/>
              <w:left w:val="single" w:color="000000" w:sz="4" w:space="0"/>
              <w:bottom w:val="single" w:color="000000" w:sz="4" w:space="0"/>
              <w:right w:val="single" w:color="000000" w:sz="4" w:space="0"/>
            </w:tcBorders>
            <w:vAlign w:val="center"/>
          </w:tcPr>
          <w:p w14:paraId="5B5982D1">
            <w:pPr>
              <w:snapToGrid w:val="0"/>
              <w:jc w:val="center"/>
              <w:rPr>
                <w:rFonts w:hint="eastAsia" w:ascii="宋体" w:hAnsi="宋体" w:cs="宋体"/>
                <w:sz w:val="24"/>
              </w:rPr>
            </w:pPr>
            <w:r>
              <w:rPr>
                <w:rFonts w:hint="eastAsia" w:ascii="宋体" w:hAnsi="宋体" w:cs="宋体"/>
                <w:sz w:val="24"/>
              </w:rPr>
              <w:t>170000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13FC7F65">
            <w:pPr>
              <w:snapToGrid w:val="0"/>
              <w:jc w:val="center"/>
              <w:rPr>
                <w:rFonts w:hint="eastAsia" w:ascii="宋体" w:hAnsi="宋体" w:cs="宋体"/>
                <w:sz w:val="24"/>
              </w:rPr>
            </w:pPr>
            <w:r>
              <w:rPr>
                <w:rFonts w:hint="eastAsia" w:ascii="宋体" w:hAnsi="宋体" w:cs="宋体"/>
                <w:sz w:val="24"/>
              </w:rPr>
              <w:t>170000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AFF5A5">
            <w:pPr>
              <w:jc w:val="center"/>
              <w:rPr>
                <w:rFonts w:hint="eastAsia" w:ascii="宋体" w:hAnsi="宋体" w:cs="宋体"/>
                <w:sz w:val="24"/>
              </w:rPr>
            </w:pPr>
          </w:p>
        </w:tc>
      </w:tr>
      <w:tr w14:paraId="1BA415DC">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621B7DC6">
            <w:pPr>
              <w:snapToGrid w:val="0"/>
              <w:jc w:val="center"/>
              <w:rPr>
                <w:rFonts w:hint="eastAsia" w:ascii="宋体" w:hAnsi="宋体" w:cs="宋体"/>
                <w:sz w:val="24"/>
              </w:rPr>
            </w:pPr>
            <w:r>
              <w:rPr>
                <w:rFonts w:hint="eastAsia" w:ascii="宋体" w:hAnsi="宋体" w:cs="宋体"/>
                <w:sz w:val="24"/>
              </w:rPr>
              <w:t>14</w:t>
            </w:r>
          </w:p>
        </w:tc>
        <w:tc>
          <w:tcPr>
            <w:tcW w:w="2820" w:type="dxa"/>
            <w:tcBorders>
              <w:top w:val="single" w:color="000000" w:sz="4" w:space="0"/>
              <w:left w:val="single" w:color="000000" w:sz="4" w:space="0"/>
              <w:bottom w:val="single" w:color="000000" w:sz="4" w:space="0"/>
              <w:right w:val="single" w:color="000000" w:sz="4" w:space="0"/>
            </w:tcBorders>
            <w:vAlign w:val="center"/>
          </w:tcPr>
          <w:p w14:paraId="53B4F80F">
            <w:pPr>
              <w:snapToGrid w:val="0"/>
              <w:jc w:val="center"/>
              <w:rPr>
                <w:rFonts w:hint="eastAsia" w:ascii="宋体" w:hAnsi="宋体" w:cs="宋体"/>
                <w:sz w:val="24"/>
              </w:rPr>
            </w:pPr>
            <w:r>
              <w:rPr>
                <w:rFonts w:hint="eastAsia" w:ascii="宋体" w:hAnsi="宋体" w:cs="宋体"/>
                <w:sz w:val="24"/>
              </w:rPr>
              <w:t>全自动流动注射分析仪（包括氰化物、总磷、挥发酚、阴离子表面活性剂4个模块）</w:t>
            </w:r>
          </w:p>
        </w:tc>
        <w:tc>
          <w:tcPr>
            <w:tcW w:w="1200" w:type="dxa"/>
            <w:tcBorders>
              <w:top w:val="single" w:color="000000" w:sz="4" w:space="0"/>
              <w:left w:val="single" w:color="000000" w:sz="4" w:space="0"/>
              <w:bottom w:val="single" w:color="000000" w:sz="4" w:space="0"/>
              <w:right w:val="single" w:color="000000" w:sz="4" w:space="0"/>
            </w:tcBorders>
            <w:vAlign w:val="center"/>
          </w:tcPr>
          <w:p w14:paraId="609D3D33">
            <w:pPr>
              <w:snapToGrid w:val="0"/>
              <w:jc w:val="center"/>
              <w:rPr>
                <w:rFonts w:hint="eastAsia" w:ascii="宋体" w:hAnsi="宋体" w:cs="宋体"/>
                <w:sz w:val="24"/>
              </w:rPr>
            </w:pPr>
            <w:r>
              <w:rPr>
                <w:rFonts w:hint="eastAsia" w:ascii="宋体" w:hAnsi="宋体" w:cs="宋体"/>
                <w:sz w:val="24"/>
              </w:rPr>
              <w:t>1</w:t>
            </w:r>
          </w:p>
        </w:tc>
        <w:tc>
          <w:tcPr>
            <w:tcW w:w="1635" w:type="dxa"/>
            <w:tcBorders>
              <w:top w:val="single" w:color="000000" w:sz="4" w:space="0"/>
              <w:left w:val="single" w:color="000000" w:sz="4" w:space="0"/>
              <w:bottom w:val="single" w:color="000000" w:sz="4" w:space="0"/>
              <w:right w:val="single" w:color="000000" w:sz="4" w:space="0"/>
            </w:tcBorders>
            <w:vAlign w:val="center"/>
          </w:tcPr>
          <w:p w14:paraId="0B41C0FF">
            <w:pPr>
              <w:snapToGrid w:val="0"/>
              <w:jc w:val="center"/>
              <w:rPr>
                <w:rFonts w:hint="eastAsia" w:ascii="宋体" w:hAnsi="宋体" w:cs="宋体"/>
                <w:sz w:val="24"/>
              </w:rPr>
            </w:pPr>
            <w:r>
              <w:rPr>
                <w:rFonts w:hint="eastAsia" w:ascii="宋体" w:hAnsi="宋体" w:cs="宋体"/>
                <w:sz w:val="24"/>
              </w:rPr>
              <w:t>480000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7495A697">
            <w:pPr>
              <w:snapToGrid w:val="0"/>
              <w:jc w:val="center"/>
              <w:rPr>
                <w:rFonts w:hint="eastAsia" w:ascii="宋体" w:hAnsi="宋体" w:cs="宋体"/>
                <w:sz w:val="24"/>
              </w:rPr>
            </w:pPr>
            <w:r>
              <w:rPr>
                <w:rFonts w:hint="eastAsia" w:ascii="宋体" w:hAnsi="宋体" w:cs="宋体"/>
                <w:sz w:val="24"/>
              </w:rPr>
              <w:t>480000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24D249">
            <w:pPr>
              <w:jc w:val="center"/>
              <w:rPr>
                <w:rFonts w:hint="eastAsia" w:ascii="宋体" w:hAnsi="宋体" w:cs="宋体"/>
                <w:sz w:val="24"/>
              </w:rPr>
            </w:pPr>
          </w:p>
        </w:tc>
      </w:tr>
      <w:tr w14:paraId="0083AE71">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00E75C83">
            <w:pPr>
              <w:snapToGrid w:val="0"/>
              <w:jc w:val="center"/>
              <w:rPr>
                <w:rFonts w:hint="eastAsia" w:ascii="宋体" w:hAnsi="宋体" w:cs="宋体"/>
                <w:sz w:val="24"/>
              </w:rPr>
            </w:pPr>
            <w:r>
              <w:rPr>
                <w:rFonts w:hint="eastAsia" w:ascii="宋体" w:hAnsi="宋体" w:cs="宋体"/>
                <w:sz w:val="24"/>
              </w:rPr>
              <w:t>15</w:t>
            </w:r>
          </w:p>
        </w:tc>
        <w:tc>
          <w:tcPr>
            <w:tcW w:w="2820" w:type="dxa"/>
            <w:tcBorders>
              <w:top w:val="single" w:color="000000" w:sz="4" w:space="0"/>
              <w:left w:val="single" w:color="000000" w:sz="4" w:space="0"/>
              <w:bottom w:val="single" w:color="000000" w:sz="4" w:space="0"/>
              <w:right w:val="single" w:color="000000" w:sz="4" w:space="0"/>
            </w:tcBorders>
            <w:vAlign w:val="center"/>
          </w:tcPr>
          <w:p w14:paraId="46D4BAEC">
            <w:pPr>
              <w:snapToGrid w:val="0"/>
              <w:jc w:val="center"/>
              <w:rPr>
                <w:rFonts w:hint="eastAsia" w:ascii="宋体" w:hAnsi="宋体" w:cs="宋体"/>
                <w:sz w:val="24"/>
              </w:rPr>
            </w:pPr>
            <w:r>
              <w:rPr>
                <w:rFonts w:hint="eastAsia" w:ascii="宋体" w:hAnsi="宋体" w:cs="宋体"/>
                <w:sz w:val="24"/>
              </w:rPr>
              <w:t>原子荧光分光光度计</w:t>
            </w:r>
          </w:p>
        </w:tc>
        <w:tc>
          <w:tcPr>
            <w:tcW w:w="1200" w:type="dxa"/>
            <w:tcBorders>
              <w:top w:val="single" w:color="000000" w:sz="4" w:space="0"/>
              <w:left w:val="single" w:color="000000" w:sz="4" w:space="0"/>
              <w:bottom w:val="single" w:color="000000" w:sz="4" w:space="0"/>
              <w:right w:val="single" w:color="000000" w:sz="4" w:space="0"/>
            </w:tcBorders>
            <w:vAlign w:val="center"/>
          </w:tcPr>
          <w:p w14:paraId="6A13C574">
            <w:pPr>
              <w:snapToGrid w:val="0"/>
              <w:jc w:val="center"/>
              <w:rPr>
                <w:rFonts w:hint="eastAsia" w:ascii="宋体" w:hAnsi="宋体" w:cs="宋体"/>
                <w:sz w:val="24"/>
              </w:rPr>
            </w:pPr>
            <w:r>
              <w:rPr>
                <w:rFonts w:hint="eastAsia" w:ascii="宋体" w:hAnsi="宋体" w:cs="宋体"/>
                <w:sz w:val="24"/>
              </w:rPr>
              <w:t>2</w:t>
            </w:r>
          </w:p>
        </w:tc>
        <w:tc>
          <w:tcPr>
            <w:tcW w:w="1635" w:type="dxa"/>
            <w:tcBorders>
              <w:top w:val="single" w:color="000000" w:sz="4" w:space="0"/>
              <w:left w:val="single" w:color="000000" w:sz="4" w:space="0"/>
              <w:bottom w:val="single" w:color="000000" w:sz="4" w:space="0"/>
              <w:right w:val="single" w:color="000000" w:sz="4" w:space="0"/>
            </w:tcBorders>
            <w:vAlign w:val="center"/>
          </w:tcPr>
          <w:p w14:paraId="138AD0A7">
            <w:pPr>
              <w:snapToGrid w:val="0"/>
              <w:jc w:val="center"/>
              <w:rPr>
                <w:rFonts w:hint="eastAsia" w:ascii="宋体" w:hAnsi="宋体" w:cs="宋体"/>
                <w:sz w:val="24"/>
              </w:rPr>
            </w:pPr>
            <w:r>
              <w:rPr>
                <w:rFonts w:hint="eastAsia" w:ascii="宋体" w:hAnsi="宋体" w:cs="宋体"/>
                <w:sz w:val="24"/>
              </w:rPr>
              <w:t>130000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4F736485">
            <w:pPr>
              <w:snapToGrid w:val="0"/>
              <w:jc w:val="center"/>
              <w:rPr>
                <w:rFonts w:hint="eastAsia" w:ascii="宋体" w:hAnsi="宋体" w:cs="宋体"/>
                <w:sz w:val="24"/>
              </w:rPr>
            </w:pPr>
            <w:r>
              <w:rPr>
                <w:rFonts w:hint="eastAsia" w:ascii="宋体" w:hAnsi="宋体" w:cs="宋体"/>
                <w:sz w:val="24"/>
              </w:rPr>
              <w:t>260000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E41198">
            <w:pPr>
              <w:jc w:val="center"/>
              <w:rPr>
                <w:rFonts w:hint="eastAsia" w:ascii="宋体" w:hAnsi="宋体" w:cs="宋体"/>
                <w:sz w:val="24"/>
              </w:rPr>
            </w:pPr>
          </w:p>
        </w:tc>
      </w:tr>
      <w:tr w14:paraId="16AD3354">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56C7DDB2">
            <w:pPr>
              <w:snapToGrid w:val="0"/>
              <w:jc w:val="center"/>
              <w:rPr>
                <w:rFonts w:hint="eastAsia" w:ascii="宋体" w:hAnsi="宋体" w:cs="宋体"/>
                <w:sz w:val="24"/>
              </w:rPr>
            </w:pPr>
            <w:r>
              <w:rPr>
                <w:rFonts w:hint="eastAsia" w:ascii="宋体" w:hAnsi="宋体" w:cs="宋体"/>
                <w:sz w:val="24"/>
              </w:rPr>
              <w:t>16</w:t>
            </w:r>
          </w:p>
        </w:tc>
        <w:tc>
          <w:tcPr>
            <w:tcW w:w="2820" w:type="dxa"/>
            <w:tcBorders>
              <w:top w:val="single" w:color="000000" w:sz="4" w:space="0"/>
              <w:left w:val="single" w:color="000000" w:sz="4" w:space="0"/>
              <w:bottom w:val="single" w:color="000000" w:sz="4" w:space="0"/>
              <w:right w:val="single" w:color="000000" w:sz="4" w:space="0"/>
            </w:tcBorders>
            <w:vAlign w:val="center"/>
          </w:tcPr>
          <w:p w14:paraId="4C90DBCB">
            <w:pPr>
              <w:snapToGrid w:val="0"/>
              <w:jc w:val="center"/>
              <w:rPr>
                <w:rFonts w:hint="eastAsia" w:ascii="宋体" w:hAnsi="宋体" w:cs="宋体"/>
                <w:sz w:val="24"/>
              </w:rPr>
            </w:pPr>
            <w:r>
              <w:rPr>
                <w:rFonts w:hint="eastAsia" w:ascii="宋体" w:hAnsi="宋体" w:cs="宋体"/>
                <w:sz w:val="24"/>
              </w:rPr>
              <w:t>恒温恒湿称量设备（半自动）</w:t>
            </w:r>
          </w:p>
        </w:tc>
        <w:tc>
          <w:tcPr>
            <w:tcW w:w="1200" w:type="dxa"/>
            <w:tcBorders>
              <w:top w:val="single" w:color="000000" w:sz="4" w:space="0"/>
              <w:left w:val="single" w:color="000000" w:sz="4" w:space="0"/>
              <w:bottom w:val="single" w:color="000000" w:sz="4" w:space="0"/>
              <w:right w:val="single" w:color="000000" w:sz="4" w:space="0"/>
            </w:tcBorders>
            <w:vAlign w:val="center"/>
          </w:tcPr>
          <w:p w14:paraId="6C4CCFCA">
            <w:pPr>
              <w:snapToGrid w:val="0"/>
              <w:jc w:val="center"/>
              <w:rPr>
                <w:rFonts w:hint="eastAsia" w:ascii="宋体" w:hAnsi="宋体" w:cs="宋体"/>
                <w:sz w:val="24"/>
              </w:rPr>
            </w:pPr>
            <w:r>
              <w:rPr>
                <w:rFonts w:hint="eastAsia" w:ascii="宋体" w:hAnsi="宋体" w:cs="宋体"/>
                <w:sz w:val="24"/>
              </w:rPr>
              <w:t>1</w:t>
            </w:r>
          </w:p>
        </w:tc>
        <w:tc>
          <w:tcPr>
            <w:tcW w:w="1635" w:type="dxa"/>
            <w:tcBorders>
              <w:top w:val="single" w:color="000000" w:sz="4" w:space="0"/>
              <w:left w:val="single" w:color="000000" w:sz="4" w:space="0"/>
              <w:bottom w:val="single" w:color="000000" w:sz="4" w:space="0"/>
              <w:right w:val="single" w:color="000000" w:sz="4" w:space="0"/>
            </w:tcBorders>
            <w:vAlign w:val="center"/>
          </w:tcPr>
          <w:p w14:paraId="59CC5871">
            <w:pPr>
              <w:snapToGrid w:val="0"/>
              <w:jc w:val="center"/>
              <w:rPr>
                <w:rFonts w:hint="eastAsia" w:ascii="宋体" w:hAnsi="宋体" w:cs="宋体"/>
                <w:sz w:val="24"/>
              </w:rPr>
            </w:pPr>
            <w:r>
              <w:rPr>
                <w:rFonts w:hint="eastAsia" w:ascii="宋体" w:hAnsi="宋体" w:cs="宋体"/>
                <w:sz w:val="24"/>
              </w:rPr>
              <w:t>150000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0F69BBCC">
            <w:pPr>
              <w:snapToGrid w:val="0"/>
              <w:jc w:val="center"/>
              <w:rPr>
                <w:rFonts w:hint="eastAsia" w:ascii="宋体" w:hAnsi="宋体" w:cs="宋体"/>
                <w:sz w:val="24"/>
              </w:rPr>
            </w:pPr>
            <w:r>
              <w:rPr>
                <w:rFonts w:hint="eastAsia" w:ascii="宋体" w:hAnsi="宋体" w:cs="宋体"/>
                <w:sz w:val="24"/>
              </w:rPr>
              <w:t>150000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56454B">
            <w:pPr>
              <w:jc w:val="center"/>
              <w:rPr>
                <w:rFonts w:hint="eastAsia" w:ascii="宋体" w:hAnsi="宋体" w:cs="宋体"/>
                <w:sz w:val="24"/>
              </w:rPr>
            </w:pPr>
          </w:p>
        </w:tc>
      </w:tr>
      <w:tr w14:paraId="384B3415">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0D96D245">
            <w:pPr>
              <w:snapToGrid w:val="0"/>
              <w:jc w:val="center"/>
              <w:rPr>
                <w:rFonts w:hint="eastAsia" w:ascii="宋体" w:hAnsi="宋体" w:cs="宋体"/>
                <w:sz w:val="24"/>
              </w:rPr>
            </w:pPr>
            <w:r>
              <w:rPr>
                <w:rFonts w:hint="eastAsia" w:ascii="宋体" w:hAnsi="宋体" w:cs="宋体"/>
                <w:sz w:val="24"/>
              </w:rPr>
              <w:t>17</w:t>
            </w:r>
          </w:p>
        </w:tc>
        <w:tc>
          <w:tcPr>
            <w:tcW w:w="2820" w:type="dxa"/>
            <w:tcBorders>
              <w:top w:val="single" w:color="000000" w:sz="4" w:space="0"/>
              <w:left w:val="single" w:color="000000" w:sz="4" w:space="0"/>
              <w:bottom w:val="single" w:color="000000" w:sz="4" w:space="0"/>
              <w:right w:val="single" w:color="000000" w:sz="4" w:space="0"/>
            </w:tcBorders>
            <w:vAlign w:val="center"/>
          </w:tcPr>
          <w:p w14:paraId="6E0D4FBF">
            <w:pPr>
              <w:snapToGrid w:val="0"/>
              <w:jc w:val="center"/>
              <w:rPr>
                <w:rFonts w:hint="eastAsia" w:ascii="宋体" w:hAnsi="宋体" w:cs="宋体"/>
                <w:sz w:val="24"/>
              </w:rPr>
            </w:pPr>
            <w:r>
              <w:rPr>
                <w:rFonts w:hint="eastAsia" w:ascii="宋体" w:hAnsi="宋体" w:cs="宋体"/>
                <w:sz w:val="24"/>
              </w:rPr>
              <w:t>原子吸收光谱仪</w:t>
            </w:r>
          </w:p>
        </w:tc>
        <w:tc>
          <w:tcPr>
            <w:tcW w:w="1200" w:type="dxa"/>
            <w:tcBorders>
              <w:top w:val="single" w:color="000000" w:sz="4" w:space="0"/>
              <w:left w:val="single" w:color="000000" w:sz="4" w:space="0"/>
              <w:bottom w:val="single" w:color="000000" w:sz="4" w:space="0"/>
              <w:right w:val="single" w:color="000000" w:sz="4" w:space="0"/>
            </w:tcBorders>
            <w:vAlign w:val="center"/>
          </w:tcPr>
          <w:p w14:paraId="0FB93273">
            <w:pPr>
              <w:snapToGrid w:val="0"/>
              <w:jc w:val="center"/>
              <w:rPr>
                <w:rFonts w:hint="eastAsia" w:ascii="宋体" w:hAnsi="宋体" w:cs="宋体"/>
                <w:sz w:val="24"/>
              </w:rPr>
            </w:pPr>
            <w:r>
              <w:rPr>
                <w:rFonts w:hint="eastAsia" w:ascii="宋体" w:hAnsi="宋体" w:cs="宋体"/>
                <w:sz w:val="24"/>
              </w:rPr>
              <w:t>2</w:t>
            </w:r>
          </w:p>
        </w:tc>
        <w:tc>
          <w:tcPr>
            <w:tcW w:w="1635" w:type="dxa"/>
            <w:tcBorders>
              <w:top w:val="single" w:color="000000" w:sz="4" w:space="0"/>
              <w:left w:val="single" w:color="000000" w:sz="4" w:space="0"/>
              <w:bottom w:val="single" w:color="000000" w:sz="4" w:space="0"/>
              <w:right w:val="single" w:color="000000" w:sz="4" w:space="0"/>
            </w:tcBorders>
            <w:vAlign w:val="center"/>
          </w:tcPr>
          <w:p w14:paraId="4ED11428">
            <w:pPr>
              <w:snapToGrid w:val="0"/>
              <w:jc w:val="center"/>
              <w:rPr>
                <w:rFonts w:hint="eastAsia" w:ascii="宋体" w:hAnsi="宋体" w:cs="宋体"/>
                <w:sz w:val="24"/>
              </w:rPr>
            </w:pPr>
            <w:r>
              <w:rPr>
                <w:rFonts w:hint="eastAsia" w:ascii="宋体" w:hAnsi="宋体" w:cs="宋体"/>
                <w:sz w:val="24"/>
              </w:rPr>
              <w:t>320000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45FF2D14">
            <w:pPr>
              <w:snapToGrid w:val="0"/>
              <w:jc w:val="center"/>
              <w:rPr>
                <w:rFonts w:hint="eastAsia" w:ascii="宋体" w:hAnsi="宋体" w:cs="宋体"/>
                <w:sz w:val="24"/>
              </w:rPr>
            </w:pPr>
            <w:r>
              <w:rPr>
                <w:rFonts w:hint="eastAsia" w:ascii="宋体" w:hAnsi="宋体" w:cs="宋体"/>
                <w:sz w:val="24"/>
              </w:rPr>
              <w:t>640000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713D57">
            <w:pPr>
              <w:jc w:val="center"/>
              <w:rPr>
                <w:rFonts w:hint="eastAsia" w:ascii="宋体" w:hAnsi="宋体" w:cs="宋体"/>
                <w:sz w:val="24"/>
              </w:rPr>
            </w:pPr>
          </w:p>
        </w:tc>
      </w:tr>
      <w:tr w14:paraId="375694F3">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3819DEAC">
            <w:pPr>
              <w:snapToGrid w:val="0"/>
              <w:jc w:val="center"/>
              <w:rPr>
                <w:rFonts w:hint="eastAsia" w:ascii="宋体" w:hAnsi="宋体" w:cs="宋体"/>
                <w:sz w:val="24"/>
              </w:rPr>
            </w:pPr>
            <w:r>
              <w:rPr>
                <w:rFonts w:hint="eastAsia" w:ascii="宋体" w:hAnsi="宋体" w:cs="宋体"/>
                <w:sz w:val="24"/>
              </w:rPr>
              <w:t>18</w:t>
            </w:r>
          </w:p>
        </w:tc>
        <w:tc>
          <w:tcPr>
            <w:tcW w:w="2820" w:type="dxa"/>
            <w:tcBorders>
              <w:top w:val="single" w:color="000000" w:sz="4" w:space="0"/>
              <w:left w:val="single" w:color="000000" w:sz="4" w:space="0"/>
              <w:bottom w:val="single" w:color="000000" w:sz="4" w:space="0"/>
              <w:right w:val="single" w:color="000000" w:sz="4" w:space="0"/>
            </w:tcBorders>
            <w:vAlign w:val="center"/>
          </w:tcPr>
          <w:p w14:paraId="53804C8B">
            <w:pPr>
              <w:snapToGrid w:val="0"/>
              <w:jc w:val="center"/>
              <w:rPr>
                <w:rFonts w:hint="eastAsia" w:ascii="宋体" w:hAnsi="宋体" w:cs="宋体"/>
                <w:sz w:val="24"/>
              </w:rPr>
            </w:pPr>
            <w:r>
              <w:rPr>
                <w:rFonts w:hint="eastAsia" w:ascii="宋体" w:hAnsi="宋体" w:cs="宋体"/>
                <w:sz w:val="24"/>
              </w:rPr>
              <w:t>紫外可见分光光度计</w:t>
            </w:r>
          </w:p>
        </w:tc>
        <w:tc>
          <w:tcPr>
            <w:tcW w:w="1200" w:type="dxa"/>
            <w:tcBorders>
              <w:top w:val="single" w:color="000000" w:sz="4" w:space="0"/>
              <w:left w:val="single" w:color="000000" w:sz="4" w:space="0"/>
              <w:bottom w:val="single" w:color="000000" w:sz="4" w:space="0"/>
              <w:right w:val="single" w:color="000000" w:sz="4" w:space="0"/>
            </w:tcBorders>
            <w:vAlign w:val="center"/>
          </w:tcPr>
          <w:p w14:paraId="7C054516">
            <w:pPr>
              <w:snapToGrid w:val="0"/>
              <w:jc w:val="center"/>
              <w:rPr>
                <w:rFonts w:hint="eastAsia" w:ascii="宋体" w:hAnsi="宋体" w:cs="宋体"/>
                <w:sz w:val="24"/>
              </w:rPr>
            </w:pPr>
            <w:r>
              <w:rPr>
                <w:rFonts w:hint="eastAsia" w:ascii="宋体" w:hAnsi="宋体" w:cs="宋体"/>
                <w:sz w:val="24"/>
              </w:rPr>
              <w:t>1</w:t>
            </w:r>
          </w:p>
        </w:tc>
        <w:tc>
          <w:tcPr>
            <w:tcW w:w="1635" w:type="dxa"/>
            <w:tcBorders>
              <w:top w:val="single" w:color="000000" w:sz="4" w:space="0"/>
              <w:left w:val="single" w:color="000000" w:sz="4" w:space="0"/>
              <w:bottom w:val="single" w:color="000000" w:sz="4" w:space="0"/>
              <w:right w:val="single" w:color="000000" w:sz="4" w:space="0"/>
            </w:tcBorders>
            <w:vAlign w:val="center"/>
          </w:tcPr>
          <w:p w14:paraId="71385FF7">
            <w:pPr>
              <w:snapToGrid w:val="0"/>
              <w:jc w:val="center"/>
              <w:rPr>
                <w:rFonts w:hint="eastAsia" w:ascii="宋体" w:hAnsi="宋体" w:cs="宋体"/>
                <w:sz w:val="24"/>
              </w:rPr>
            </w:pPr>
            <w:r>
              <w:rPr>
                <w:rFonts w:hint="eastAsia" w:ascii="宋体" w:hAnsi="宋体" w:cs="宋体"/>
                <w:sz w:val="24"/>
              </w:rPr>
              <w:t>35000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1AC6740E">
            <w:pPr>
              <w:snapToGrid w:val="0"/>
              <w:jc w:val="center"/>
              <w:rPr>
                <w:rFonts w:hint="eastAsia" w:ascii="宋体" w:hAnsi="宋体" w:cs="宋体"/>
                <w:sz w:val="24"/>
              </w:rPr>
            </w:pPr>
            <w:r>
              <w:rPr>
                <w:rFonts w:hint="eastAsia" w:ascii="宋体" w:hAnsi="宋体" w:cs="宋体"/>
                <w:sz w:val="24"/>
              </w:rPr>
              <w:t>35000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5EF129">
            <w:pPr>
              <w:jc w:val="center"/>
              <w:rPr>
                <w:rFonts w:hint="eastAsia" w:ascii="宋体" w:hAnsi="宋体" w:cs="宋体"/>
                <w:sz w:val="24"/>
              </w:rPr>
            </w:pPr>
          </w:p>
        </w:tc>
      </w:tr>
      <w:tr w14:paraId="23B0BD5F">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0F9D0D11">
            <w:pPr>
              <w:snapToGrid w:val="0"/>
              <w:jc w:val="center"/>
              <w:rPr>
                <w:rFonts w:hint="eastAsia" w:ascii="宋体" w:hAnsi="宋体" w:cs="宋体"/>
                <w:sz w:val="24"/>
              </w:rPr>
            </w:pPr>
            <w:r>
              <w:rPr>
                <w:rFonts w:hint="eastAsia" w:ascii="宋体" w:hAnsi="宋体" w:cs="宋体"/>
                <w:sz w:val="24"/>
              </w:rPr>
              <w:t>19</w:t>
            </w:r>
          </w:p>
        </w:tc>
        <w:tc>
          <w:tcPr>
            <w:tcW w:w="2820" w:type="dxa"/>
            <w:tcBorders>
              <w:top w:val="single" w:color="000000" w:sz="4" w:space="0"/>
              <w:left w:val="single" w:color="000000" w:sz="4" w:space="0"/>
              <w:bottom w:val="single" w:color="000000" w:sz="4" w:space="0"/>
              <w:right w:val="single" w:color="000000" w:sz="4" w:space="0"/>
            </w:tcBorders>
            <w:vAlign w:val="center"/>
          </w:tcPr>
          <w:p w14:paraId="170AF00A">
            <w:pPr>
              <w:snapToGrid w:val="0"/>
              <w:jc w:val="center"/>
              <w:rPr>
                <w:rFonts w:hint="eastAsia" w:ascii="宋体" w:hAnsi="宋体" w:cs="宋体"/>
                <w:sz w:val="24"/>
              </w:rPr>
            </w:pPr>
            <w:r>
              <w:rPr>
                <w:rFonts w:hint="eastAsia" w:ascii="宋体" w:hAnsi="宋体" w:cs="宋体"/>
                <w:sz w:val="24"/>
              </w:rPr>
              <w:t>多功能声级计</w:t>
            </w:r>
          </w:p>
        </w:tc>
        <w:tc>
          <w:tcPr>
            <w:tcW w:w="1200" w:type="dxa"/>
            <w:tcBorders>
              <w:top w:val="single" w:color="000000" w:sz="4" w:space="0"/>
              <w:left w:val="single" w:color="000000" w:sz="4" w:space="0"/>
              <w:bottom w:val="single" w:color="000000" w:sz="4" w:space="0"/>
              <w:right w:val="single" w:color="000000" w:sz="4" w:space="0"/>
            </w:tcBorders>
            <w:vAlign w:val="center"/>
          </w:tcPr>
          <w:p w14:paraId="19A75F37">
            <w:pPr>
              <w:snapToGrid w:val="0"/>
              <w:jc w:val="center"/>
              <w:rPr>
                <w:rFonts w:hint="eastAsia" w:ascii="宋体" w:hAnsi="宋体" w:cs="宋体"/>
                <w:sz w:val="24"/>
              </w:rPr>
            </w:pPr>
            <w:r>
              <w:rPr>
                <w:rFonts w:hint="eastAsia" w:ascii="宋体" w:hAnsi="宋体" w:cs="宋体"/>
                <w:sz w:val="24"/>
              </w:rPr>
              <w:t>18</w:t>
            </w:r>
          </w:p>
        </w:tc>
        <w:tc>
          <w:tcPr>
            <w:tcW w:w="1635" w:type="dxa"/>
            <w:tcBorders>
              <w:top w:val="single" w:color="000000" w:sz="4" w:space="0"/>
              <w:left w:val="single" w:color="000000" w:sz="4" w:space="0"/>
              <w:bottom w:val="single" w:color="000000" w:sz="4" w:space="0"/>
              <w:right w:val="single" w:color="000000" w:sz="4" w:space="0"/>
            </w:tcBorders>
            <w:vAlign w:val="center"/>
          </w:tcPr>
          <w:p w14:paraId="44FC8192">
            <w:pPr>
              <w:snapToGrid w:val="0"/>
              <w:jc w:val="center"/>
              <w:rPr>
                <w:rFonts w:hint="eastAsia" w:ascii="宋体" w:hAnsi="宋体" w:cs="宋体"/>
                <w:sz w:val="24"/>
              </w:rPr>
            </w:pPr>
            <w:r>
              <w:rPr>
                <w:rFonts w:hint="eastAsia" w:ascii="宋体" w:hAnsi="宋体" w:cs="宋体"/>
                <w:sz w:val="24"/>
              </w:rPr>
              <w:t>12700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2603878C">
            <w:pPr>
              <w:snapToGrid w:val="0"/>
              <w:jc w:val="center"/>
              <w:rPr>
                <w:rFonts w:hint="eastAsia" w:ascii="宋体" w:hAnsi="宋体" w:cs="宋体"/>
                <w:sz w:val="24"/>
              </w:rPr>
            </w:pPr>
            <w:r>
              <w:rPr>
                <w:rFonts w:hint="eastAsia" w:ascii="宋体" w:hAnsi="宋体" w:cs="宋体"/>
                <w:sz w:val="24"/>
              </w:rPr>
              <w:t>228600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73C09A">
            <w:pPr>
              <w:jc w:val="center"/>
              <w:rPr>
                <w:rFonts w:hint="eastAsia" w:ascii="宋体" w:hAnsi="宋体" w:cs="宋体"/>
                <w:sz w:val="24"/>
              </w:rPr>
            </w:pPr>
          </w:p>
        </w:tc>
      </w:tr>
      <w:tr w14:paraId="5DAD0641">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4E5DAEDE">
            <w:pPr>
              <w:snapToGrid w:val="0"/>
              <w:jc w:val="center"/>
              <w:rPr>
                <w:rFonts w:hint="eastAsia" w:ascii="宋体" w:hAnsi="宋体" w:cs="宋体"/>
                <w:sz w:val="24"/>
              </w:rPr>
            </w:pPr>
            <w:r>
              <w:rPr>
                <w:rFonts w:hint="eastAsia" w:ascii="宋体" w:hAnsi="宋体" w:cs="宋体"/>
                <w:sz w:val="24"/>
              </w:rPr>
              <w:t>20</w:t>
            </w:r>
          </w:p>
        </w:tc>
        <w:tc>
          <w:tcPr>
            <w:tcW w:w="2820" w:type="dxa"/>
            <w:tcBorders>
              <w:top w:val="single" w:color="000000" w:sz="4" w:space="0"/>
              <w:left w:val="single" w:color="000000" w:sz="4" w:space="0"/>
              <w:bottom w:val="single" w:color="000000" w:sz="4" w:space="0"/>
              <w:right w:val="single" w:color="000000" w:sz="4" w:space="0"/>
            </w:tcBorders>
            <w:vAlign w:val="center"/>
          </w:tcPr>
          <w:p w14:paraId="7B0A4DD1">
            <w:pPr>
              <w:snapToGrid w:val="0"/>
              <w:jc w:val="center"/>
              <w:rPr>
                <w:rFonts w:hint="eastAsia" w:ascii="宋体" w:hAnsi="宋体" w:cs="宋体"/>
                <w:sz w:val="24"/>
              </w:rPr>
            </w:pPr>
            <w:r>
              <w:rPr>
                <w:rFonts w:hint="eastAsia" w:ascii="宋体" w:hAnsi="宋体" w:cs="宋体"/>
                <w:sz w:val="24"/>
              </w:rPr>
              <w:t>声校准器</w:t>
            </w:r>
          </w:p>
        </w:tc>
        <w:tc>
          <w:tcPr>
            <w:tcW w:w="1200" w:type="dxa"/>
            <w:tcBorders>
              <w:top w:val="single" w:color="000000" w:sz="4" w:space="0"/>
              <w:left w:val="single" w:color="000000" w:sz="4" w:space="0"/>
              <w:bottom w:val="single" w:color="000000" w:sz="4" w:space="0"/>
              <w:right w:val="single" w:color="000000" w:sz="4" w:space="0"/>
            </w:tcBorders>
            <w:vAlign w:val="center"/>
          </w:tcPr>
          <w:p w14:paraId="55583C97">
            <w:pPr>
              <w:snapToGrid w:val="0"/>
              <w:jc w:val="center"/>
              <w:rPr>
                <w:rFonts w:hint="eastAsia" w:ascii="宋体" w:hAnsi="宋体" w:cs="宋体"/>
                <w:sz w:val="24"/>
              </w:rPr>
            </w:pPr>
            <w:r>
              <w:rPr>
                <w:rFonts w:hint="eastAsia" w:ascii="宋体" w:hAnsi="宋体" w:cs="宋体"/>
                <w:sz w:val="24"/>
              </w:rPr>
              <w:t>1</w:t>
            </w:r>
          </w:p>
        </w:tc>
        <w:tc>
          <w:tcPr>
            <w:tcW w:w="1635" w:type="dxa"/>
            <w:tcBorders>
              <w:top w:val="single" w:color="000000" w:sz="4" w:space="0"/>
              <w:left w:val="single" w:color="000000" w:sz="4" w:space="0"/>
              <w:bottom w:val="single" w:color="000000" w:sz="4" w:space="0"/>
              <w:right w:val="single" w:color="000000" w:sz="4" w:space="0"/>
            </w:tcBorders>
            <w:vAlign w:val="center"/>
          </w:tcPr>
          <w:p w14:paraId="35195BD3">
            <w:pPr>
              <w:snapToGrid w:val="0"/>
              <w:jc w:val="center"/>
              <w:rPr>
                <w:rFonts w:hint="eastAsia" w:ascii="宋体" w:hAnsi="宋体" w:cs="宋体"/>
                <w:sz w:val="24"/>
              </w:rPr>
            </w:pPr>
            <w:r>
              <w:rPr>
                <w:rFonts w:hint="eastAsia" w:ascii="宋体" w:hAnsi="宋体" w:cs="宋体"/>
                <w:sz w:val="24"/>
              </w:rPr>
              <w:t>2600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28E487DE">
            <w:pPr>
              <w:snapToGrid w:val="0"/>
              <w:jc w:val="center"/>
              <w:rPr>
                <w:rFonts w:hint="eastAsia" w:ascii="宋体" w:hAnsi="宋体" w:cs="宋体"/>
                <w:sz w:val="24"/>
              </w:rPr>
            </w:pPr>
            <w:r>
              <w:rPr>
                <w:rFonts w:hint="eastAsia" w:ascii="宋体" w:hAnsi="宋体" w:cs="宋体"/>
                <w:sz w:val="24"/>
              </w:rPr>
              <w:t>2600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3D1DCC">
            <w:pPr>
              <w:jc w:val="center"/>
              <w:rPr>
                <w:rFonts w:hint="eastAsia" w:ascii="宋体" w:hAnsi="宋体" w:cs="宋体"/>
                <w:sz w:val="24"/>
              </w:rPr>
            </w:pPr>
          </w:p>
        </w:tc>
      </w:tr>
      <w:tr w14:paraId="085C4B94">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51D5E213">
            <w:pPr>
              <w:snapToGrid w:val="0"/>
              <w:jc w:val="center"/>
              <w:rPr>
                <w:rFonts w:hint="eastAsia" w:ascii="宋体" w:hAnsi="宋体" w:cs="宋体"/>
                <w:sz w:val="24"/>
              </w:rPr>
            </w:pPr>
            <w:r>
              <w:rPr>
                <w:rFonts w:hint="eastAsia" w:ascii="宋体" w:hAnsi="宋体" w:cs="宋体"/>
                <w:sz w:val="24"/>
              </w:rPr>
              <w:t>21</w:t>
            </w:r>
          </w:p>
        </w:tc>
        <w:tc>
          <w:tcPr>
            <w:tcW w:w="2820" w:type="dxa"/>
            <w:tcBorders>
              <w:top w:val="single" w:color="000000" w:sz="4" w:space="0"/>
              <w:left w:val="single" w:color="000000" w:sz="4" w:space="0"/>
              <w:bottom w:val="single" w:color="000000" w:sz="4" w:space="0"/>
              <w:right w:val="single" w:color="000000" w:sz="4" w:space="0"/>
            </w:tcBorders>
            <w:vAlign w:val="center"/>
          </w:tcPr>
          <w:p w14:paraId="154ED36A">
            <w:pPr>
              <w:snapToGrid w:val="0"/>
              <w:jc w:val="center"/>
              <w:rPr>
                <w:rFonts w:hint="eastAsia" w:ascii="宋体" w:hAnsi="宋体" w:cs="宋体"/>
                <w:sz w:val="24"/>
              </w:rPr>
            </w:pPr>
            <w:r>
              <w:rPr>
                <w:rFonts w:hint="eastAsia" w:ascii="宋体" w:hAnsi="宋体" w:cs="宋体"/>
                <w:sz w:val="24"/>
              </w:rPr>
              <w:t>高压灭菌锅</w:t>
            </w:r>
          </w:p>
        </w:tc>
        <w:tc>
          <w:tcPr>
            <w:tcW w:w="1200" w:type="dxa"/>
            <w:tcBorders>
              <w:top w:val="single" w:color="000000" w:sz="4" w:space="0"/>
              <w:left w:val="single" w:color="000000" w:sz="4" w:space="0"/>
              <w:bottom w:val="single" w:color="000000" w:sz="4" w:space="0"/>
              <w:right w:val="single" w:color="000000" w:sz="4" w:space="0"/>
            </w:tcBorders>
            <w:vAlign w:val="center"/>
          </w:tcPr>
          <w:p w14:paraId="0C113B30">
            <w:pPr>
              <w:snapToGrid w:val="0"/>
              <w:jc w:val="center"/>
              <w:rPr>
                <w:rFonts w:hint="eastAsia" w:ascii="宋体" w:hAnsi="宋体" w:cs="宋体"/>
                <w:sz w:val="24"/>
              </w:rPr>
            </w:pPr>
            <w:r>
              <w:rPr>
                <w:rFonts w:hint="eastAsia" w:ascii="宋体" w:hAnsi="宋体" w:cs="宋体"/>
                <w:sz w:val="24"/>
              </w:rPr>
              <w:t>6</w:t>
            </w:r>
          </w:p>
        </w:tc>
        <w:tc>
          <w:tcPr>
            <w:tcW w:w="1635" w:type="dxa"/>
            <w:tcBorders>
              <w:top w:val="single" w:color="000000" w:sz="4" w:space="0"/>
              <w:left w:val="single" w:color="000000" w:sz="4" w:space="0"/>
              <w:bottom w:val="single" w:color="000000" w:sz="4" w:space="0"/>
              <w:right w:val="single" w:color="000000" w:sz="4" w:space="0"/>
            </w:tcBorders>
            <w:vAlign w:val="center"/>
          </w:tcPr>
          <w:p w14:paraId="0C186453">
            <w:pPr>
              <w:snapToGrid w:val="0"/>
              <w:jc w:val="center"/>
              <w:rPr>
                <w:rFonts w:hint="eastAsia" w:ascii="宋体" w:hAnsi="宋体" w:cs="宋体"/>
                <w:sz w:val="24"/>
              </w:rPr>
            </w:pPr>
            <w:r>
              <w:rPr>
                <w:rFonts w:hint="eastAsia" w:ascii="宋体" w:hAnsi="宋体" w:cs="宋体"/>
                <w:sz w:val="24"/>
              </w:rPr>
              <w:t>5500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1ECD8D5C">
            <w:pPr>
              <w:snapToGrid w:val="0"/>
              <w:jc w:val="center"/>
              <w:rPr>
                <w:rFonts w:hint="eastAsia" w:ascii="宋体" w:hAnsi="宋体" w:cs="宋体"/>
                <w:sz w:val="24"/>
              </w:rPr>
            </w:pPr>
            <w:r>
              <w:rPr>
                <w:rFonts w:hint="eastAsia" w:ascii="宋体" w:hAnsi="宋体" w:cs="宋体"/>
                <w:sz w:val="24"/>
              </w:rPr>
              <w:t>33000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B4C7A8">
            <w:pPr>
              <w:jc w:val="center"/>
              <w:rPr>
                <w:rFonts w:hint="eastAsia" w:ascii="宋体" w:hAnsi="宋体" w:cs="宋体"/>
                <w:sz w:val="24"/>
              </w:rPr>
            </w:pPr>
          </w:p>
        </w:tc>
      </w:tr>
      <w:tr w14:paraId="7A6B41EB">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57CC348C">
            <w:pPr>
              <w:snapToGrid w:val="0"/>
              <w:jc w:val="center"/>
              <w:rPr>
                <w:rFonts w:hint="eastAsia" w:ascii="宋体" w:hAnsi="宋体" w:cs="宋体"/>
                <w:sz w:val="24"/>
              </w:rPr>
            </w:pPr>
            <w:r>
              <w:rPr>
                <w:rFonts w:hint="eastAsia" w:ascii="宋体" w:hAnsi="宋体" w:cs="宋体"/>
                <w:sz w:val="24"/>
              </w:rPr>
              <w:t>22</w:t>
            </w:r>
          </w:p>
        </w:tc>
        <w:tc>
          <w:tcPr>
            <w:tcW w:w="2820" w:type="dxa"/>
            <w:tcBorders>
              <w:top w:val="single" w:color="000000" w:sz="4" w:space="0"/>
              <w:left w:val="single" w:color="000000" w:sz="4" w:space="0"/>
              <w:bottom w:val="single" w:color="000000" w:sz="4" w:space="0"/>
              <w:right w:val="single" w:color="000000" w:sz="4" w:space="0"/>
            </w:tcBorders>
            <w:vAlign w:val="center"/>
          </w:tcPr>
          <w:p w14:paraId="5008B926">
            <w:pPr>
              <w:snapToGrid w:val="0"/>
              <w:jc w:val="center"/>
              <w:rPr>
                <w:rFonts w:hint="eastAsia" w:ascii="宋体" w:hAnsi="宋体" w:cs="宋体"/>
                <w:sz w:val="24"/>
              </w:rPr>
            </w:pPr>
            <w:r>
              <w:rPr>
                <w:rFonts w:hint="eastAsia" w:ascii="宋体" w:hAnsi="宋体" w:cs="宋体"/>
                <w:sz w:val="24"/>
              </w:rPr>
              <w:t>实验室专用冰箱</w:t>
            </w:r>
          </w:p>
        </w:tc>
        <w:tc>
          <w:tcPr>
            <w:tcW w:w="1200" w:type="dxa"/>
            <w:tcBorders>
              <w:top w:val="single" w:color="000000" w:sz="4" w:space="0"/>
              <w:left w:val="single" w:color="000000" w:sz="4" w:space="0"/>
              <w:bottom w:val="single" w:color="000000" w:sz="4" w:space="0"/>
              <w:right w:val="single" w:color="000000" w:sz="4" w:space="0"/>
            </w:tcBorders>
            <w:vAlign w:val="center"/>
          </w:tcPr>
          <w:p w14:paraId="79B3BBEC">
            <w:pPr>
              <w:snapToGrid w:val="0"/>
              <w:jc w:val="center"/>
              <w:rPr>
                <w:rFonts w:hint="eastAsia" w:ascii="宋体" w:hAnsi="宋体" w:cs="宋体"/>
                <w:sz w:val="24"/>
              </w:rPr>
            </w:pPr>
            <w:r>
              <w:rPr>
                <w:rFonts w:hint="eastAsia" w:ascii="宋体" w:hAnsi="宋体" w:cs="宋体"/>
                <w:sz w:val="24"/>
              </w:rPr>
              <w:t>18</w:t>
            </w:r>
          </w:p>
        </w:tc>
        <w:tc>
          <w:tcPr>
            <w:tcW w:w="1635" w:type="dxa"/>
            <w:tcBorders>
              <w:top w:val="single" w:color="000000" w:sz="4" w:space="0"/>
              <w:left w:val="single" w:color="000000" w:sz="4" w:space="0"/>
              <w:bottom w:val="single" w:color="000000" w:sz="4" w:space="0"/>
              <w:right w:val="single" w:color="000000" w:sz="4" w:space="0"/>
            </w:tcBorders>
            <w:vAlign w:val="center"/>
          </w:tcPr>
          <w:p w14:paraId="7F3D33C2">
            <w:pPr>
              <w:snapToGrid w:val="0"/>
              <w:jc w:val="center"/>
              <w:rPr>
                <w:rFonts w:hint="eastAsia" w:ascii="宋体" w:hAnsi="宋体" w:cs="宋体"/>
                <w:sz w:val="24"/>
              </w:rPr>
            </w:pPr>
            <w:r>
              <w:rPr>
                <w:rFonts w:hint="eastAsia" w:ascii="宋体" w:hAnsi="宋体" w:cs="宋体"/>
                <w:sz w:val="24"/>
              </w:rPr>
              <w:t>5000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69F79063">
            <w:pPr>
              <w:snapToGrid w:val="0"/>
              <w:jc w:val="center"/>
              <w:rPr>
                <w:rFonts w:hint="eastAsia" w:ascii="宋体" w:hAnsi="宋体" w:cs="宋体"/>
                <w:sz w:val="24"/>
              </w:rPr>
            </w:pPr>
            <w:r>
              <w:rPr>
                <w:rFonts w:hint="eastAsia" w:ascii="宋体" w:hAnsi="宋体" w:cs="宋体"/>
                <w:sz w:val="24"/>
              </w:rPr>
              <w:t>90000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6B09FE">
            <w:pPr>
              <w:jc w:val="center"/>
              <w:rPr>
                <w:rFonts w:hint="eastAsia" w:ascii="宋体" w:hAnsi="宋体" w:cs="宋体"/>
                <w:sz w:val="24"/>
              </w:rPr>
            </w:pPr>
          </w:p>
        </w:tc>
      </w:tr>
      <w:tr w14:paraId="1676F3F7">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7FCCBCBE">
            <w:pPr>
              <w:snapToGrid w:val="0"/>
              <w:jc w:val="center"/>
              <w:rPr>
                <w:rFonts w:hint="eastAsia" w:ascii="宋体" w:hAnsi="宋体" w:cs="宋体"/>
                <w:sz w:val="24"/>
              </w:rPr>
            </w:pPr>
            <w:r>
              <w:rPr>
                <w:rFonts w:hint="eastAsia" w:ascii="宋体" w:hAnsi="宋体" w:cs="宋体"/>
                <w:sz w:val="24"/>
              </w:rPr>
              <w:t>23</w:t>
            </w:r>
          </w:p>
        </w:tc>
        <w:tc>
          <w:tcPr>
            <w:tcW w:w="2820" w:type="dxa"/>
            <w:tcBorders>
              <w:top w:val="single" w:color="000000" w:sz="4" w:space="0"/>
              <w:left w:val="single" w:color="000000" w:sz="4" w:space="0"/>
              <w:bottom w:val="single" w:color="000000" w:sz="4" w:space="0"/>
              <w:right w:val="single" w:color="000000" w:sz="4" w:space="0"/>
            </w:tcBorders>
            <w:vAlign w:val="center"/>
          </w:tcPr>
          <w:p w14:paraId="6C71C646">
            <w:pPr>
              <w:snapToGrid w:val="0"/>
              <w:jc w:val="center"/>
              <w:rPr>
                <w:rFonts w:hint="eastAsia" w:ascii="宋体" w:hAnsi="宋体" w:cs="宋体"/>
                <w:sz w:val="24"/>
              </w:rPr>
            </w:pPr>
            <w:r>
              <w:rPr>
                <w:rFonts w:hint="eastAsia" w:ascii="宋体" w:hAnsi="宋体" w:cs="宋体"/>
                <w:sz w:val="24"/>
              </w:rPr>
              <w:t>瓶口分液器</w:t>
            </w:r>
          </w:p>
        </w:tc>
        <w:tc>
          <w:tcPr>
            <w:tcW w:w="1200" w:type="dxa"/>
            <w:tcBorders>
              <w:top w:val="single" w:color="000000" w:sz="4" w:space="0"/>
              <w:left w:val="single" w:color="000000" w:sz="4" w:space="0"/>
              <w:bottom w:val="single" w:color="000000" w:sz="4" w:space="0"/>
              <w:right w:val="single" w:color="000000" w:sz="4" w:space="0"/>
            </w:tcBorders>
            <w:vAlign w:val="center"/>
          </w:tcPr>
          <w:p w14:paraId="63D05201">
            <w:pPr>
              <w:snapToGrid w:val="0"/>
              <w:jc w:val="center"/>
              <w:rPr>
                <w:rFonts w:hint="eastAsia" w:ascii="宋体" w:hAnsi="宋体" w:cs="宋体"/>
                <w:sz w:val="24"/>
              </w:rPr>
            </w:pPr>
            <w:r>
              <w:rPr>
                <w:rFonts w:hint="eastAsia" w:ascii="宋体" w:hAnsi="宋体" w:cs="宋体"/>
                <w:sz w:val="24"/>
              </w:rPr>
              <w:t>2</w:t>
            </w:r>
          </w:p>
        </w:tc>
        <w:tc>
          <w:tcPr>
            <w:tcW w:w="1635" w:type="dxa"/>
            <w:tcBorders>
              <w:top w:val="single" w:color="000000" w:sz="4" w:space="0"/>
              <w:left w:val="single" w:color="000000" w:sz="4" w:space="0"/>
              <w:bottom w:val="single" w:color="000000" w:sz="4" w:space="0"/>
              <w:right w:val="single" w:color="000000" w:sz="4" w:space="0"/>
            </w:tcBorders>
            <w:vAlign w:val="center"/>
          </w:tcPr>
          <w:p w14:paraId="49E6E3D4">
            <w:pPr>
              <w:snapToGrid w:val="0"/>
              <w:jc w:val="center"/>
              <w:rPr>
                <w:rFonts w:hint="eastAsia" w:ascii="宋体" w:hAnsi="宋体" w:cs="宋体"/>
                <w:sz w:val="24"/>
              </w:rPr>
            </w:pPr>
            <w:r>
              <w:rPr>
                <w:rFonts w:hint="eastAsia" w:ascii="宋体" w:hAnsi="宋体" w:cs="宋体"/>
                <w:sz w:val="24"/>
              </w:rPr>
              <w:t>3000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39BF1255">
            <w:pPr>
              <w:snapToGrid w:val="0"/>
              <w:jc w:val="center"/>
              <w:rPr>
                <w:rFonts w:hint="eastAsia" w:ascii="宋体" w:hAnsi="宋体" w:cs="宋体"/>
                <w:sz w:val="24"/>
              </w:rPr>
            </w:pPr>
            <w:r>
              <w:rPr>
                <w:rFonts w:hint="eastAsia" w:ascii="宋体" w:hAnsi="宋体" w:cs="宋体"/>
                <w:sz w:val="24"/>
              </w:rPr>
              <w:t>6000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2F2A4E">
            <w:pPr>
              <w:jc w:val="center"/>
              <w:rPr>
                <w:rFonts w:hint="eastAsia" w:ascii="宋体" w:hAnsi="宋体" w:cs="宋体"/>
                <w:sz w:val="24"/>
              </w:rPr>
            </w:pPr>
          </w:p>
        </w:tc>
      </w:tr>
      <w:tr w14:paraId="5B1FAD50">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6C7A077F">
            <w:pPr>
              <w:snapToGrid w:val="0"/>
              <w:jc w:val="center"/>
              <w:rPr>
                <w:rFonts w:hint="eastAsia" w:ascii="宋体" w:hAnsi="宋体" w:cs="宋体"/>
                <w:sz w:val="24"/>
              </w:rPr>
            </w:pPr>
            <w:r>
              <w:rPr>
                <w:rFonts w:hint="eastAsia" w:ascii="宋体" w:hAnsi="宋体" w:cs="宋体"/>
                <w:sz w:val="24"/>
              </w:rPr>
              <w:t>24</w:t>
            </w:r>
          </w:p>
        </w:tc>
        <w:tc>
          <w:tcPr>
            <w:tcW w:w="2820" w:type="dxa"/>
            <w:tcBorders>
              <w:top w:val="single" w:color="000000" w:sz="4" w:space="0"/>
              <w:left w:val="single" w:color="000000" w:sz="4" w:space="0"/>
              <w:bottom w:val="single" w:color="000000" w:sz="4" w:space="0"/>
              <w:right w:val="single" w:color="000000" w:sz="4" w:space="0"/>
            </w:tcBorders>
            <w:vAlign w:val="center"/>
          </w:tcPr>
          <w:p w14:paraId="207E78E4">
            <w:pPr>
              <w:snapToGrid w:val="0"/>
              <w:jc w:val="center"/>
              <w:rPr>
                <w:rFonts w:hint="eastAsia" w:ascii="宋体" w:hAnsi="宋体" w:cs="宋体"/>
                <w:sz w:val="24"/>
              </w:rPr>
            </w:pPr>
            <w:r>
              <w:rPr>
                <w:rFonts w:hint="eastAsia" w:ascii="宋体" w:hAnsi="宋体" w:cs="宋体"/>
                <w:sz w:val="24"/>
              </w:rPr>
              <w:t>氟化物离子计</w:t>
            </w:r>
          </w:p>
        </w:tc>
        <w:tc>
          <w:tcPr>
            <w:tcW w:w="1200" w:type="dxa"/>
            <w:tcBorders>
              <w:top w:val="single" w:color="000000" w:sz="4" w:space="0"/>
              <w:left w:val="single" w:color="000000" w:sz="4" w:space="0"/>
              <w:bottom w:val="single" w:color="000000" w:sz="4" w:space="0"/>
              <w:right w:val="single" w:color="000000" w:sz="4" w:space="0"/>
            </w:tcBorders>
            <w:vAlign w:val="center"/>
          </w:tcPr>
          <w:p w14:paraId="2EF09015">
            <w:pPr>
              <w:snapToGrid w:val="0"/>
              <w:jc w:val="center"/>
              <w:rPr>
                <w:rFonts w:hint="eastAsia" w:ascii="宋体" w:hAnsi="宋体" w:cs="宋体"/>
                <w:sz w:val="24"/>
              </w:rPr>
            </w:pPr>
            <w:r>
              <w:rPr>
                <w:rFonts w:hint="eastAsia" w:ascii="宋体" w:hAnsi="宋体" w:cs="宋体"/>
                <w:sz w:val="24"/>
              </w:rPr>
              <w:t>2</w:t>
            </w:r>
          </w:p>
        </w:tc>
        <w:tc>
          <w:tcPr>
            <w:tcW w:w="1635" w:type="dxa"/>
            <w:tcBorders>
              <w:top w:val="single" w:color="000000" w:sz="4" w:space="0"/>
              <w:left w:val="single" w:color="000000" w:sz="4" w:space="0"/>
              <w:bottom w:val="single" w:color="000000" w:sz="4" w:space="0"/>
              <w:right w:val="single" w:color="000000" w:sz="4" w:space="0"/>
            </w:tcBorders>
            <w:vAlign w:val="center"/>
          </w:tcPr>
          <w:p w14:paraId="5DD43385">
            <w:pPr>
              <w:snapToGrid w:val="0"/>
              <w:jc w:val="center"/>
              <w:rPr>
                <w:rFonts w:hint="eastAsia" w:ascii="宋体" w:hAnsi="宋体" w:cs="宋体"/>
                <w:sz w:val="24"/>
              </w:rPr>
            </w:pPr>
            <w:r>
              <w:rPr>
                <w:rFonts w:hint="eastAsia" w:ascii="宋体" w:hAnsi="宋体" w:cs="宋体"/>
                <w:sz w:val="24"/>
              </w:rPr>
              <w:t>5700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30C95081">
            <w:pPr>
              <w:snapToGrid w:val="0"/>
              <w:jc w:val="center"/>
              <w:rPr>
                <w:rFonts w:hint="eastAsia" w:ascii="宋体" w:hAnsi="宋体" w:cs="宋体"/>
                <w:sz w:val="24"/>
              </w:rPr>
            </w:pPr>
            <w:r>
              <w:rPr>
                <w:rFonts w:hint="eastAsia" w:ascii="宋体" w:hAnsi="宋体" w:cs="宋体"/>
                <w:sz w:val="24"/>
              </w:rPr>
              <w:t>11400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2240E0">
            <w:pPr>
              <w:jc w:val="center"/>
              <w:rPr>
                <w:rFonts w:hint="eastAsia" w:ascii="宋体" w:hAnsi="宋体" w:cs="宋体"/>
                <w:sz w:val="24"/>
              </w:rPr>
            </w:pPr>
          </w:p>
        </w:tc>
      </w:tr>
      <w:tr w14:paraId="39961BC4">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6948AB07">
            <w:pPr>
              <w:snapToGrid w:val="0"/>
              <w:jc w:val="center"/>
              <w:rPr>
                <w:rFonts w:hint="eastAsia" w:ascii="宋体" w:hAnsi="宋体" w:cs="宋体"/>
                <w:sz w:val="24"/>
              </w:rPr>
            </w:pPr>
            <w:r>
              <w:rPr>
                <w:rFonts w:hint="eastAsia" w:ascii="宋体" w:hAnsi="宋体" w:cs="宋体"/>
                <w:sz w:val="24"/>
              </w:rPr>
              <w:t>25</w:t>
            </w:r>
          </w:p>
        </w:tc>
        <w:tc>
          <w:tcPr>
            <w:tcW w:w="2820" w:type="dxa"/>
            <w:tcBorders>
              <w:top w:val="single" w:color="000000" w:sz="4" w:space="0"/>
              <w:left w:val="single" w:color="000000" w:sz="4" w:space="0"/>
              <w:bottom w:val="single" w:color="000000" w:sz="4" w:space="0"/>
              <w:right w:val="single" w:color="000000" w:sz="4" w:space="0"/>
            </w:tcBorders>
            <w:vAlign w:val="center"/>
          </w:tcPr>
          <w:p w14:paraId="23D62AFF">
            <w:pPr>
              <w:snapToGrid w:val="0"/>
              <w:jc w:val="center"/>
              <w:rPr>
                <w:rFonts w:hint="eastAsia" w:ascii="宋体" w:hAnsi="宋体" w:cs="宋体"/>
                <w:sz w:val="24"/>
              </w:rPr>
            </w:pPr>
            <w:r>
              <w:rPr>
                <w:rFonts w:hint="eastAsia" w:ascii="宋体" w:hAnsi="宋体" w:cs="宋体"/>
                <w:sz w:val="24"/>
              </w:rPr>
              <w:t>电热鼓风干燥箱</w:t>
            </w:r>
          </w:p>
        </w:tc>
        <w:tc>
          <w:tcPr>
            <w:tcW w:w="1200" w:type="dxa"/>
            <w:tcBorders>
              <w:top w:val="single" w:color="000000" w:sz="4" w:space="0"/>
              <w:left w:val="single" w:color="000000" w:sz="4" w:space="0"/>
              <w:bottom w:val="single" w:color="000000" w:sz="4" w:space="0"/>
              <w:right w:val="single" w:color="000000" w:sz="4" w:space="0"/>
            </w:tcBorders>
            <w:vAlign w:val="center"/>
          </w:tcPr>
          <w:p w14:paraId="6A3C5159">
            <w:pPr>
              <w:snapToGrid w:val="0"/>
              <w:jc w:val="center"/>
              <w:rPr>
                <w:rFonts w:hint="eastAsia" w:ascii="宋体" w:hAnsi="宋体" w:cs="宋体"/>
                <w:sz w:val="24"/>
              </w:rPr>
            </w:pPr>
            <w:r>
              <w:rPr>
                <w:rFonts w:hint="eastAsia" w:ascii="宋体" w:hAnsi="宋体" w:cs="宋体"/>
                <w:sz w:val="24"/>
              </w:rPr>
              <w:t>1</w:t>
            </w:r>
          </w:p>
        </w:tc>
        <w:tc>
          <w:tcPr>
            <w:tcW w:w="1635" w:type="dxa"/>
            <w:tcBorders>
              <w:top w:val="single" w:color="000000" w:sz="4" w:space="0"/>
              <w:left w:val="single" w:color="000000" w:sz="4" w:space="0"/>
              <w:bottom w:val="single" w:color="000000" w:sz="4" w:space="0"/>
              <w:right w:val="single" w:color="000000" w:sz="4" w:space="0"/>
            </w:tcBorders>
            <w:vAlign w:val="center"/>
          </w:tcPr>
          <w:p w14:paraId="2709C5EF">
            <w:pPr>
              <w:snapToGrid w:val="0"/>
              <w:jc w:val="center"/>
              <w:rPr>
                <w:rFonts w:hint="eastAsia" w:ascii="宋体" w:hAnsi="宋体" w:cs="宋体"/>
                <w:sz w:val="24"/>
              </w:rPr>
            </w:pPr>
            <w:r>
              <w:rPr>
                <w:rFonts w:hint="eastAsia" w:ascii="宋体" w:hAnsi="宋体" w:cs="宋体"/>
                <w:sz w:val="24"/>
              </w:rPr>
              <w:t>4000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3CFB2C4E">
            <w:pPr>
              <w:snapToGrid w:val="0"/>
              <w:jc w:val="center"/>
              <w:rPr>
                <w:rFonts w:hint="eastAsia" w:ascii="宋体" w:hAnsi="宋体" w:cs="宋体"/>
                <w:sz w:val="24"/>
              </w:rPr>
            </w:pPr>
            <w:r>
              <w:rPr>
                <w:rFonts w:hint="eastAsia" w:ascii="宋体" w:hAnsi="宋体" w:cs="宋体"/>
                <w:sz w:val="24"/>
              </w:rPr>
              <w:t>4000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DF74F2">
            <w:pPr>
              <w:jc w:val="center"/>
              <w:rPr>
                <w:rFonts w:hint="eastAsia" w:ascii="宋体" w:hAnsi="宋体" w:cs="宋体"/>
                <w:sz w:val="24"/>
              </w:rPr>
            </w:pPr>
          </w:p>
        </w:tc>
      </w:tr>
      <w:tr w14:paraId="1302A93A">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4EB3FC5A">
            <w:pPr>
              <w:snapToGrid w:val="0"/>
              <w:jc w:val="center"/>
              <w:rPr>
                <w:rFonts w:hint="eastAsia" w:ascii="宋体" w:hAnsi="宋体" w:cs="宋体"/>
                <w:sz w:val="24"/>
              </w:rPr>
            </w:pPr>
            <w:r>
              <w:rPr>
                <w:rFonts w:hint="eastAsia" w:ascii="宋体" w:hAnsi="宋体" w:cs="宋体"/>
                <w:sz w:val="24"/>
              </w:rPr>
              <w:t>26</w:t>
            </w:r>
          </w:p>
        </w:tc>
        <w:tc>
          <w:tcPr>
            <w:tcW w:w="2820" w:type="dxa"/>
            <w:tcBorders>
              <w:top w:val="single" w:color="000000" w:sz="4" w:space="0"/>
              <w:left w:val="single" w:color="000000" w:sz="4" w:space="0"/>
              <w:bottom w:val="single" w:color="000000" w:sz="4" w:space="0"/>
              <w:right w:val="single" w:color="000000" w:sz="4" w:space="0"/>
            </w:tcBorders>
            <w:vAlign w:val="center"/>
          </w:tcPr>
          <w:p w14:paraId="69E4F3D7">
            <w:pPr>
              <w:snapToGrid w:val="0"/>
              <w:jc w:val="center"/>
              <w:rPr>
                <w:rFonts w:hint="eastAsia" w:ascii="宋体" w:hAnsi="宋体" w:cs="宋体"/>
                <w:sz w:val="24"/>
              </w:rPr>
            </w:pPr>
            <w:r>
              <w:rPr>
                <w:rFonts w:hint="eastAsia" w:ascii="宋体" w:hAnsi="宋体" w:cs="宋体"/>
                <w:sz w:val="24"/>
              </w:rPr>
              <w:t>实验室台式离心机</w:t>
            </w:r>
          </w:p>
        </w:tc>
        <w:tc>
          <w:tcPr>
            <w:tcW w:w="1200" w:type="dxa"/>
            <w:tcBorders>
              <w:top w:val="single" w:color="000000" w:sz="4" w:space="0"/>
              <w:left w:val="single" w:color="000000" w:sz="4" w:space="0"/>
              <w:bottom w:val="single" w:color="000000" w:sz="4" w:space="0"/>
              <w:right w:val="single" w:color="000000" w:sz="4" w:space="0"/>
            </w:tcBorders>
            <w:vAlign w:val="center"/>
          </w:tcPr>
          <w:p w14:paraId="0F6B7592">
            <w:pPr>
              <w:snapToGrid w:val="0"/>
              <w:jc w:val="center"/>
              <w:rPr>
                <w:rFonts w:hint="eastAsia" w:ascii="宋体" w:hAnsi="宋体" w:cs="宋体"/>
                <w:sz w:val="24"/>
              </w:rPr>
            </w:pPr>
            <w:r>
              <w:rPr>
                <w:rFonts w:hint="eastAsia" w:ascii="宋体" w:hAnsi="宋体" w:cs="宋体"/>
                <w:sz w:val="24"/>
              </w:rPr>
              <w:t>2</w:t>
            </w:r>
          </w:p>
        </w:tc>
        <w:tc>
          <w:tcPr>
            <w:tcW w:w="1635" w:type="dxa"/>
            <w:tcBorders>
              <w:top w:val="single" w:color="000000" w:sz="4" w:space="0"/>
              <w:left w:val="single" w:color="000000" w:sz="4" w:space="0"/>
              <w:bottom w:val="single" w:color="000000" w:sz="4" w:space="0"/>
              <w:right w:val="single" w:color="000000" w:sz="4" w:space="0"/>
            </w:tcBorders>
            <w:vAlign w:val="center"/>
          </w:tcPr>
          <w:p w14:paraId="288A1C2F">
            <w:pPr>
              <w:snapToGrid w:val="0"/>
              <w:jc w:val="center"/>
              <w:rPr>
                <w:rFonts w:hint="eastAsia" w:ascii="宋体" w:hAnsi="宋体" w:cs="宋体"/>
                <w:sz w:val="24"/>
              </w:rPr>
            </w:pPr>
            <w:r>
              <w:rPr>
                <w:rFonts w:hint="eastAsia" w:ascii="宋体" w:hAnsi="宋体" w:cs="宋体"/>
                <w:sz w:val="24"/>
              </w:rPr>
              <w:t>12000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55680F1D">
            <w:pPr>
              <w:snapToGrid w:val="0"/>
              <w:jc w:val="center"/>
              <w:rPr>
                <w:rFonts w:hint="eastAsia" w:ascii="宋体" w:hAnsi="宋体" w:cs="宋体"/>
                <w:sz w:val="24"/>
              </w:rPr>
            </w:pPr>
            <w:r>
              <w:rPr>
                <w:rFonts w:hint="eastAsia" w:ascii="宋体" w:hAnsi="宋体" w:cs="宋体"/>
                <w:sz w:val="24"/>
              </w:rPr>
              <w:t>24000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18B5C9">
            <w:pPr>
              <w:jc w:val="center"/>
              <w:rPr>
                <w:rFonts w:hint="eastAsia" w:ascii="宋体" w:hAnsi="宋体" w:cs="宋体"/>
                <w:sz w:val="24"/>
              </w:rPr>
            </w:pPr>
          </w:p>
        </w:tc>
      </w:tr>
      <w:tr w14:paraId="4132C56A">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6822DB4D">
            <w:pPr>
              <w:snapToGrid w:val="0"/>
              <w:jc w:val="center"/>
              <w:rPr>
                <w:rFonts w:hint="eastAsia" w:ascii="宋体" w:hAnsi="宋体" w:cs="宋体"/>
                <w:sz w:val="24"/>
              </w:rPr>
            </w:pPr>
            <w:r>
              <w:rPr>
                <w:rFonts w:hint="eastAsia" w:ascii="宋体" w:hAnsi="宋体" w:cs="宋体"/>
                <w:sz w:val="24"/>
              </w:rPr>
              <w:t>27</w:t>
            </w:r>
          </w:p>
        </w:tc>
        <w:tc>
          <w:tcPr>
            <w:tcW w:w="2820" w:type="dxa"/>
            <w:tcBorders>
              <w:top w:val="single" w:color="000000" w:sz="4" w:space="0"/>
              <w:left w:val="single" w:color="000000" w:sz="4" w:space="0"/>
              <w:bottom w:val="single" w:color="000000" w:sz="4" w:space="0"/>
              <w:right w:val="single" w:color="000000" w:sz="4" w:space="0"/>
            </w:tcBorders>
            <w:vAlign w:val="center"/>
          </w:tcPr>
          <w:p w14:paraId="1C4412E2">
            <w:pPr>
              <w:snapToGrid w:val="0"/>
              <w:jc w:val="center"/>
              <w:rPr>
                <w:rFonts w:hint="eastAsia" w:ascii="宋体" w:hAnsi="宋体" w:cs="宋体"/>
                <w:sz w:val="24"/>
              </w:rPr>
            </w:pPr>
            <w:r>
              <w:rPr>
                <w:rFonts w:hint="eastAsia" w:ascii="宋体" w:hAnsi="宋体" w:cs="宋体"/>
                <w:sz w:val="24"/>
              </w:rPr>
              <w:t>环境空气综合采样器</w:t>
            </w:r>
          </w:p>
        </w:tc>
        <w:tc>
          <w:tcPr>
            <w:tcW w:w="1200" w:type="dxa"/>
            <w:tcBorders>
              <w:top w:val="single" w:color="000000" w:sz="4" w:space="0"/>
              <w:left w:val="single" w:color="000000" w:sz="4" w:space="0"/>
              <w:bottom w:val="single" w:color="000000" w:sz="4" w:space="0"/>
              <w:right w:val="single" w:color="000000" w:sz="4" w:space="0"/>
            </w:tcBorders>
            <w:vAlign w:val="center"/>
          </w:tcPr>
          <w:p w14:paraId="7A952FE1">
            <w:pPr>
              <w:snapToGrid w:val="0"/>
              <w:jc w:val="center"/>
              <w:rPr>
                <w:rFonts w:hint="eastAsia" w:ascii="宋体" w:hAnsi="宋体" w:cs="宋体"/>
                <w:sz w:val="24"/>
              </w:rPr>
            </w:pPr>
            <w:r>
              <w:rPr>
                <w:rFonts w:hint="eastAsia" w:ascii="宋体" w:hAnsi="宋体" w:cs="宋体"/>
                <w:sz w:val="24"/>
              </w:rPr>
              <w:t>14</w:t>
            </w:r>
          </w:p>
        </w:tc>
        <w:tc>
          <w:tcPr>
            <w:tcW w:w="1635" w:type="dxa"/>
            <w:tcBorders>
              <w:top w:val="single" w:color="000000" w:sz="4" w:space="0"/>
              <w:left w:val="single" w:color="000000" w:sz="4" w:space="0"/>
              <w:bottom w:val="single" w:color="000000" w:sz="4" w:space="0"/>
              <w:right w:val="single" w:color="000000" w:sz="4" w:space="0"/>
            </w:tcBorders>
            <w:vAlign w:val="center"/>
          </w:tcPr>
          <w:p w14:paraId="485ACB64">
            <w:pPr>
              <w:snapToGrid w:val="0"/>
              <w:jc w:val="center"/>
              <w:rPr>
                <w:rFonts w:hint="eastAsia" w:ascii="宋体" w:hAnsi="宋体" w:cs="宋体"/>
                <w:sz w:val="24"/>
              </w:rPr>
            </w:pPr>
            <w:r>
              <w:rPr>
                <w:rFonts w:hint="eastAsia" w:ascii="宋体" w:hAnsi="宋体" w:cs="宋体"/>
                <w:sz w:val="24"/>
              </w:rPr>
              <w:t>13500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5E399085">
            <w:pPr>
              <w:snapToGrid w:val="0"/>
              <w:jc w:val="center"/>
              <w:rPr>
                <w:rFonts w:hint="eastAsia" w:ascii="宋体" w:hAnsi="宋体" w:cs="宋体"/>
                <w:sz w:val="24"/>
              </w:rPr>
            </w:pPr>
            <w:r>
              <w:rPr>
                <w:rFonts w:hint="eastAsia" w:ascii="宋体" w:hAnsi="宋体" w:cs="宋体"/>
                <w:sz w:val="24"/>
              </w:rPr>
              <w:t>189000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6A2C4F">
            <w:pPr>
              <w:jc w:val="center"/>
              <w:rPr>
                <w:rFonts w:hint="eastAsia" w:ascii="宋体" w:hAnsi="宋体" w:cs="宋体"/>
                <w:sz w:val="24"/>
              </w:rPr>
            </w:pPr>
          </w:p>
        </w:tc>
      </w:tr>
      <w:tr w14:paraId="0DAB2D33">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53CC50DE">
            <w:pPr>
              <w:snapToGrid w:val="0"/>
              <w:jc w:val="center"/>
              <w:rPr>
                <w:rFonts w:hint="eastAsia" w:ascii="宋体" w:hAnsi="宋体" w:cs="宋体"/>
                <w:sz w:val="24"/>
              </w:rPr>
            </w:pPr>
            <w:r>
              <w:rPr>
                <w:rFonts w:hint="eastAsia" w:ascii="宋体" w:hAnsi="宋体" w:cs="宋体"/>
                <w:sz w:val="24"/>
              </w:rPr>
              <w:t>28</w:t>
            </w:r>
          </w:p>
        </w:tc>
        <w:tc>
          <w:tcPr>
            <w:tcW w:w="2820" w:type="dxa"/>
            <w:tcBorders>
              <w:top w:val="single" w:color="000000" w:sz="4" w:space="0"/>
              <w:left w:val="single" w:color="000000" w:sz="4" w:space="0"/>
              <w:bottom w:val="single" w:color="000000" w:sz="4" w:space="0"/>
              <w:right w:val="single" w:color="000000" w:sz="4" w:space="0"/>
            </w:tcBorders>
            <w:vAlign w:val="center"/>
          </w:tcPr>
          <w:p w14:paraId="60473AED">
            <w:pPr>
              <w:snapToGrid w:val="0"/>
              <w:jc w:val="center"/>
              <w:rPr>
                <w:rFonts w:hint="eastAsia" w:ascii="宋体" w:hAnsi="宋体" w:cs="宋体"/>
                <w:sz w:val="24"/>
              </w:rPr>
            </w:pPr>
            <w:r>
              <w:rPr>
                <w:rFonts w:hint="eastAsia" w:ascii="宋体" w:hAnsi="宋体" w:cs="宋体"/>
                <w:sz w:val="24"/>
              </w:rPr>
              <w:t>便携式多参数水质分析仪（水温、ph、电导率、溶解氧、浊度）</w:t>
            </w:r>
          </w:p>
        </w:tc>
        <w:tc>
          <w:tcPr>
            <w:tcW w:w="1200" w:type="dxa"/>
            <w:tcBorders>
              <w:top w:val="single" w:color="000000" w:sz="4" w:space="0"/>
              <w:left w:val="single" w:color="000000" w:sz="4" w:space="0"/>
              <w:bottom w:val="single" w:color="000000" w:sz="4" w:space="0"/>
              <w:right w:val="single" w:color="000000" w:sz="4" w:space="0"/>
            </w:tcBorders>
            <w:vAlign w:val="center"/>
          </w:tcPr>
          <w:p w14:paraId="27AC6D9E">
            <w:pPr>
              <w:snapToGrid w:val="0"/>
              <w:jc w:val="center"/>
              <w:rPr>
                <w:rFonts w:hint="eastAsia" w:ascii="宋体" w:hAnsi="宋体" w:cs="宋体"/>
                <w:sz w:val="24"/>
              </w:rPr>
            </w:pPr>
            <w:r>
              <w:rPr>
                <w:rFonts w:hint="eastAsia" w:ascii="宋体" w:hAnsi="宋体" w:cs="宋体"/>
                <w:sz w:val="24"/>
              </w:rPr>
              <w:t>4</w:t>
            </w:r>
          </w:p>
        </w:tc>
        <w:tc>
          <w:tcPr>
            <w:tcW w:w="1635" w:type="dxa"/>
            <w:tcBorders>
              <w:top w:val="single" w:color="000000" w:sz="4" w:space="0"/>
              <w:left w:val="single" w:color="000000" w:sz="4" w:space="0"/>
              <w:bottom w:val="single" w:color="000000" w:sz="4" w:space="0"/>
              <w:right w:val="single" w:color="000000" w:sz="4" w:space="0"/>
            </w:tcBorders>
            <w:vAlign w:val="center"/>
          </w:tcPr>
          <w:p w14:paraId="1CF5FFDF">
            <w:pPr>
              <w:snapToGrid w:val="0"/>
              <w:jc w:val="center"/>
              <w:rPr>
                <w:rFonts w:hint="eastAsia" w:ascii="宋体" w:hAnsi="宋体" w:cs="宋体"/>
                <w:sz w:val="24"/>
              </w:rPr>
            </w:pPr>
            <w:r>
              <w:rPr>
                <w:rFonts w:hint="eastAsia" w:ascii="宋体" w:hAnsi="宋体" w:cs="宋体"/>
                <w:sz w:val="24"/>
              </w:rPr>
              <w:t>15000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2465CDB4">
            <w:pPr>
              <w:snapToGrid w:val="0"/>
              <w:jc w:val="center"/>
              <w:rPr>
                <w:rFonts w:hint="eastAsia" w:ascii="宋体" w:hAnsi="宋体" w:cs="宋体"/>
                <w:sz w:val="24"/>
              </w:rPr>
            </w:pPr>
            <w:r>
              <w:rPr>
                <w:rFonts w:hint="eastAsia" w:ascii="宋体" w:hAnsi="宋体" w:cs="宋体"/>
                <w:sz w:val="24"/>
              </w:rPr>
              <w:t>60000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913500">
            <w:pPr>
              <w:jc w:val="center"/>
              <w:rPr>
                <w:rFonts w:hint="eastAsia" w:ascii="宋体" w:hAnsi="宋体" w:cs="宋体"/>
                <w:sz w:val="24"/>
              </w:rPr>
            </w:pPr>
          </w:p>
        </w:tc>
      </w:tr>
      <w:tr w14:paraId="0403E6F2">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7AF1BC17">
            <w:pPr>
              <w:snapToGrid w:val="0"/>
              <w:jc w:val="center"/>
              <w:rPr>
                <w:rFonts w:hint="eastAsia" w:ascii="宋体" w:hAnsi="宋体" w:cs="宋体"/>
                <w:sz w:val="24"/>
              </w:rPr>
            </w:pPr>
            <w:r>
              <w:rPr>
                <w:rFonts w:hint="eastAsia" w:ascii="宋体" w:hAnsi="宋体" w:cs="宋体"/>
                <w:sz w:val="24"/>
              </w:rPr>
              <w:t>29</w:t>
            </w:r>
          </w:p>
        </w:tc>
        <w:tc>
          <w:tcPr>
            <w:tcW w:w="2820" w:type="dxa"/>
            <w:tcBorders>
              <w:top w:val="single" w:color="000000" w:sz="4" w:space="0"/>
              <w:left w:val="single" w:color="000000" w:sz="4" w:space="0"/>
              <w:bottom w:val="single" w:color="000000" w:sz="4" w:space="0"/>
              <w:right w:val="single" w:color="000000" w:sz="4" w:space="0"/>
            </w:tcBorders>
            <w:vAlign w:val="center"/>
          </w:tcPr>
          <w:p w14:paraId="26C9B1E6">
            <w:pPr>
              <w:snapToGrid w:val="0"/>
              <w:jc w:val="center"/>
              <w:rPr>
                <w:rFonts w:hint="eastAsia" w:ascii="宋体" w:hAnsi="宋体" w:cs="宋体"/>
                <w:sz w:val="24"/>
              </w:rPr>
            </w:pPr>
            <w:r>
              <w:rPr>
                <w:rFonts w:hint="eastAsia" w:ascii="宋体" w:hAnsi="宋体" w:cs="宋体"/>
                <w:sz w:val="24"/>
              </w:rPr>
              <w:t>万分之一分析天平</w:t>
            </w:r>
          </w:p>
        </w:tc>
        <w:tc>
          <w:tcPr>
            <w:tcW w:w="1200" w:type="dxa"/>
            <w:tcBorders>
              <w:top w:val="single" w:color="000000" w:sz="4" w:space="0"/>
              <w:left w:val="single" w:color="000000" w:sz="4" w:space="0"/>
              <w:bottom w:val="single" w:color="000000" w:sz="4" w:space="0"/>
              <w:right w:val="single" w:color="000000" w:sz="4" w:space="0"/>
            </w:tcBorders>
            <w:vAlign w:val="center"/>
          </w:tcPr>
          <w:p w14:paraId="22BA7BA1">
            <w:pPr>
              <w:snapToGrid w:val="0"/>
              <w:jc w:val="center"/>
              <w:rPr>
                <w:rFonts w:hint="eastAsia" w:ascii="宋体" w:hAnsi="宋体" w:cs="宋体"/>
                <w:sz w:val="24"/>
              </w:rPr>
            </w:pPr>
            <w:r>
              <w:rPr>
                <w:rFonts w:hint="eastAsia" w:ascii="宋体" w:hAnsi="宋体" w:cs="宋体"/>
                <w:sz w:val="24"/>
              </w:rPr>
              <w:t>1</w:t>
            </w:r>
          </w:p>
        </w:tc>
        <w:tc>
          <w:tcPr>
            <w:tcW w:w="1635" w:type="dxa"/>
            <w:tcBorders>
              <w:top w:val="single" w:color="000000" w:sz="4" w:space="0"/>
              <w:left w:val="single" w:color="000000" w:sz="4" w:space="0"/>
              <w:bottom w:val="single" w:color="000000" w:sz="4" w:space="0"/>
              <w:right w:val="single" w:color="000000" w:sz="4" w:space="0"/>
            </w:tcBorders>
            <w:vAlign w:val="center"/>
          </w:tcPr>
          <w:p w14:paraId="6725965E">
            <w:pPr>
              <w:snapToGrid w:val="0"/>
              <w:jc w:val="center"/>
              <w:rPr>
                <w:rFonts w:hint="eastAsia" w:ascii="宋体" w:hAnsi="宋体" w:cs="宋体"/>
                <w:sz w:val="24"/>
              </w:rPr>
            </w:pPr>
            <w:r>
              <w:rPr>
                <w:rFonts w:hint="eastAsia" w:ascii="宋体" w:hAnsi="宋体" w:cs="宋体"/>
                <w:sz w:val="24"/>
              </w:rPr>
              <w:t>12000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28068DE9">
            <w:pPr>
              <w:snapToGrid w:val="0"/>
              <w:jc w:val="center"/>
              <w:rPr>
                <w:rFonts w:hint="eastAsia" w:ascii="宋体" w:hAnsi="宋体" w:cs="宋体"/>
                <w:sz w:val="24"/>
              </w:rPr>
            </w:pPr>
            <w:r>
              <w:rPr>
                <w:rFonts w:hint="eastAsia" w:ascii="宋体" w:hAnsi="宋体" w:cs="宋体"/>
                <w:sz w:val="24"/>
              </w:rPr>
              <w:t>12000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7EDD7E">
            <w:pPr>
              <w:jc w:val="center"/>
              <w:rPr>
                <w:rFonts w:hint="eastAsia" w:ascii="宋体" w:hAnsi="宋体" w:cs="宋体"/>
                <w:sz w:val="24"/>
              </w:rPr>
            </w:pPr>
          </w:p>
        </w:tc>
      </w:tr>
      <w:tr w14:paraId="42F183BC">
        <w:tblPrEx>
          <w:tblCellMar>
            <w:top w:w="0" w:type="dxa"/>
            <w:left w:w="108" w:type="dxa"/>
            <w:bottom w:w="0" w:type="dxa"/>
            <w:right w:w="108" w:type="dxa"/>
          </w:tblCellMar>
        </w:tblPrEx>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24BF7FEC">
            <w:pPr>
              <w:snapToGrid w:val="0"/>
              <w:jc w:val="center"/>
              <w:rPr>
                <w:rFonts w:hint="eastAsia" w:ascii="宋体" w:hAnsi="宋体" w:cs="宋体"/>
                <w:sz w:val="24"/>
              </w:rPr>
            </w:pPr>
            <w:r>
              <w:rPr>
                <w:rFonts w:hint="eastAsia" w:ascii="宋体" w:hAnsi="宋体" w:cs="宋体"/>
                <w:sz w:val="24"/>
              </w:rPr>
              <w:t>30</w:t>
            </w:r>
          </w:p>
        </w:tc>
        <w:tc>
          <w:tcPr>
            <w:tcW w:w="2820" w:type="dxa"/>
            <w:tcBorders>
              <w:top w:val="single" w:color="000000" w:sz="4" w:space="0"/>
              <w:left w:val="single" w:color="000000" w:sz="4" w:space="0"/>
              <w:bottom w:val="single" w:color="000000" w:sz="4" w:space="0"/>
              <w:right w:val="single" w:color="000000" w:sz="4" w:space="0"/>
            </w:tcBorders>
            <w:vAlign w:val="center"/>
          </w:tcPr>
          <w:p w14:paraId="619B4870">
            <w:pPr>
              <w:snapToGrid w:val="0"/>
              <w:jc w:val="center"/>
              <w:rPr>
                <w:rFonts w:hint="eastAsia" w:ascii="宋体" w:hAnsi="宋体" w:cs="宋体"/>
                <w:sz w:val="24"/>
              </w:rPr>
            </w:pPr>
            <w:r>
              <w:rPr>
                <w:rFonts w:hint="eastAsia" w:ascii="宋体" w:hAnsi="宋体" w:cs="宋体"/>
                <w:sz w:val="24"/>
              </w:rPr>
              <w:t>智能高精度综合校准仪</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D36EA60">
            <w:pPr>
              <w:snapToGrid w:val="0"/>
              <w:jc w:val="center"/>
              <w:rPr>
                <w:rFonts w:hint="eastAsia" w:ascii="宋体" w:hAnsi="宋体" w:cs="宋体"/>
                <w:sz w:val="24"/>
              </w:rPr>
            </w:pPr>
            <w:r>
              <w:rPr>
                <w:rFonts w:hint="eastAsia" w:ascii="宋体" w:hAnsi="宋体" w:cs="宋体"/>
                <w:sz w:val="24"/>
              </w:rPr>
              <w:t>4</w:t>
            </w:r>
          </w:p>
        </w:tc>
        <w:tc>
          <w:tcPr>
            <w:tcW w:w="1635" w:type="dxa"/>
            <w:tcBorders>
              <w:top w:val="single" w:color="000000" w:sz="4" w:space="0"/>
              <w:left w:val="single" w:color="000000" w:sz="4" w:space="0"/>
              <w:bottom w:val="single" w:color="000000" w:sz="4" w:space="0"/>
              <w:right w:val="single" w:color="000000" w:sz="4" w:space="0"/>
            </w:tcBorders>
            <w:noWrap/>
            <w:vAlign w:val="center"/>
          </w:tcPr>
          <w:p w14:paraId="5ECA17C0">
            <w:pPr>
              <w:snapToGrid w:val="0"/>
              <w:jc w:val="center"/>
              <w:rPr>
                <w:rFonts w:hint="eastAsia" w:ascii="宋体" w:hAnsi="宋体" w:cs="宋体"/>
                <w:sz w:val="24"/>
              </w:rPr>
            </w:pPr>
            <w:r>
              <w:rPr>
                <w:rFonts w:hint="eastAsia" w:ascii="宋体" w:hAnsi="宋体" w:cs="宋体"/>
                <w:sz w:val="24"/>
              </w:rPr>
              <w:t>32000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09FE0768">
            <w:pPr>
              <w:snapToGrid w:val="0"/>
              <w:jc w:val="center"/>
              <w:rPr>
                <w:rFonts w:hint="eastAsia" w:ascii="宋体" w:hAnsi="宋体" w:cs="宋体"/>
                <w:sz w:val="24"/>
              </w:rPr>
            </w:pPr>
            <w:r>
              <w:rPr>
                <w:rFonts w:hint="eastAsia" w:ascii="宋体" w:hAnsi="宋体" w:cs="宋体"/>
                <w:sz w:val="24"/>
              </w:rPr>
              <w:t>128000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6ECE69">
            <w:pPr>
              <w:jc w:val="center"/>
              <w:rPr>
                <w:rFonts w:hint="eastAsia" w:ascii="宋体" w:hAnsi="宋体" w:cs="宋体"/>
                <w:sz w:val="24"/>
              </w:rPr>
            </w:pPr>
          </w:p>
        </w:tc>
      </w:tr>
      <w:tr w14:paraId="2479EDB4">
        <w:trPr>
          <w:trHeight w:val="850" w:hRule="atLeast"/>
          <w:jc w:val="center"/>
        </w:trPr>
        <w:tc>
          <w:tcPr>
            <w:tcW w:w="915" w:type="dxa"/>
            <w:tcBorders>
              <w:top w:val="single" w:color="000000" w:sz="4" w:space="0"/>
              <w:left w:val="single" w:color="000000" w:sz="4" w:space="0"/>
              <w:bottom w:val="single" w:color="000000" w:sz="4" w:space="0"/>
              <w:right w:val="single" w:color="000000" w:sz="4" w:space="0"/>
            </w:tcBorders>
            <w:noWrap/>
            <w:vAlign w:val="center"/>
          </w:tcPr>
          <w:p w14:paraId="4657AB39">
            <w:pPr>
              <w:snapToGrid w:val="0"/>
              <w:jc w:val="center"/>
              <w:rPr>
                <w:rFonts w:hint="eastAsia" w:ascii="宋体" w:hAnsi="宋体" w:cs="宋体"/>
                <w:kern w:val="0"/>
                <w:sz w:val="24"/>
                <w:lang w:bidi="ar"/>
              </w:rPr>
            </w:pPr>
            <w:r>
              <w:rPr>
                <w:rFonts w:hint="eastAsia" w:ascii="宋体" w:hAnsi="宋体" w:cs="宋体"/>
                <w:sz w:val="24"/>
              </w:rPr>
              <w:t>31</w:t>
            </w:r>
          </w:p>
        </w:tc>
        <w:tc>
          <w:tcPr>
            <w:tcW w:w="2820" w:type="dxa"/>
            <w:tcBorders>
              <w:top w:val="single" w:color="000000" w:sz="4" w:space="0"/>
              <w:left w:val="single" w:color="000000" w:sz="4" w:space="0"/>
              <w:bottom w:val="single" w:color="000000" w:sz="4" w:space="0"/>
              <w:right w:val="single" w:color="000000" w:sz="4" w:space="0"/>
            </w:tcBorders>
            <w:vAlign w:val="center"/>
          </w:tcPr>
          <w:p w14:paraId="2C508113">
            <w:pPr>
              <w:snapToGrid w:val="0"/>
              <w:jc w:val="center"/>
              <w:rPr>
                <w:rFonts w:hint="eastAsia" w:ascii="宋体" w:hAnsi="宋体" w:cs="宋体"/>
                <w:kern w:val="0"/>
                <w:sz w:val="24"/>
                <w:lang w:bidi="ar"/>
              </w:rPr>
            </w:pPr>
            <w:r>
              <w:rPr>
                <w:rFonts w:hint="eastAsia" w:ascii="宋体" w:hAnsi="宋体" w:cs="宋体"/>
                <w:sz w:val="24"/>
              </w:rPr>
              <w:t>智能双路烟气采样仪</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77487CD">
            <w:pPr>
              <w:snapToGrid w:val="0"/>
              <w:jc w:val="center"/>
              <w:rPr>
                <w:rFonts w:hint="eastAsia" w:ascii="宋体" w:hAnsi="宋体" w:cs="宋体"/>
                <w:kern w:val="0"/>
                <w:sz w:val="24"/>
                <w:lang w:bidi="ar"/>
              </w:rPr>
            </w:pPr>
            <w:r>
              <w:rPr>
                <w:rFonts w:hint="eastAsia" w:ascii="宋体" w:hAnsi="宋体" w:cs="宋体"/>
                <w:sz w:val="24"/>
              </w:rPr>
              <w:t>2</w:t>
            </w:r>
          </w:p>
        </w:tc>
        <w:tc>
          <w:tcPr>
            <w:tcW w:w="1635" w:type="dxa"/>
            <w:tcBorders>
              <w:top w:val="single" w:color="000000" w:sz="4" w:space="0"/>
              <w:left w:val="single" w:color="000000" w:sz="4" w:space="0"/>
              <w:bottom w:val="single" w:color="000000" w:sz="4" w:space="0"/>
              <w:right w:val="single" w:color="000000" w:sz="4" w:space="0"/>
            </w:tcBorders>
            <w:noWrap/>
            <w:vAlign w:val="center"/>
          </w:tcPr>
          <w:p w14:paraId="3C8A8B68">
            <w:pPr>
              <w:snapToGrid w:val="0"/>
              <w:jc w:val="center"/>
              <w:rPr>
                <w:rFonts w:hint="eastAsia" w:ascii="宋体" w:hAnsi="宋体" w:cs="宋体"/>
                <w:kern w:val="0"/>
                <w:sz w:val="24"/>
                <w:lang w:bidi="ar"/>
              </w:rPr>
            </w:pPr>
            <w:r>
              <w:rPr>
                <w:rFonts w:hint="eastAsia" w:ascii="宋体" w:hAnsi="宋体" w:cs="宋体"/>
                <w:sz w:val="24"/>
              </w:rPr>
              <w:t>15000</w:t>
            </w:r>
          </w:p>
        </w:tc>
        <w:tc>
          <w:tcPr>
            <w:tcW w:w="1770" w:type="dxa"/>
            <w:tcBorders>
              <w:top w:val="single" w:color="000000" w:sz="4" w:space="0"/>
              <w:left w:val="single" w:color="000000" w:sz="4" w:space="0"/>
              <w:bottom w:val="single" w:color="000000" w:sz="4" w:space="0"/>
              <w:right w:val="single" w:color="000000" w:sz="4" w:space="0"/>
            </w:tcBorders>
            <w:noWrap/>
            <w:vAlign w:val="center"/>
          </w:tcPr>
          <w:p w14:paraId="2A12D6A5">
            <w:pPr>
              <w:snapToGrid w:val="0"/>
              <w:jc w:val="center"/>
              <w:rPr>
                <w:rFonts w:hint="eastAsia" w:ascii="宋体" w:hAnsi="宋体" w:cs="宋体"/>
                <w:kern w:val="0"/>
                <w:sz w:val="24"/>
                <w:lang w:bidi="ar"/>
              </w:rPr>
            </w:pPr>
            <w:r>
              <w:rPr>
                <w:rFonts w:hint="eastAsia" w:ascii="宋体" w:hAnsi="宋体" w:cs="宋体"/>
                <w:sz w:val="24"/>
              </w:rPr>
              <w:t>30000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C144D2">
            <w:pPr>
              <w:jc w:val="center"/>
              <w:rPr>
                <w:rFonts w:hint="eastAsia" w:ascii="宋体" w:hAnsi="宋体" w:cs="宋体"/>
                <w:sz w:val="24"/>
              </w:rPr>
            </w:pPr>
          </w:p>
        </w:tc>
      </w:tr>
      <w:tr w14:paraId="7C3B3437">
        <w:tblPrEx>
          <w:tblCellMar>
            <w:top w:w="0" w:type="dxa"/>
            <w:left w:w="108" w:type="dxa"/>
            <w:bottom w:w="0" w:type="dxa"/>
            <w:right w:w="108" w:type="dxa"/>
          </w:tblCellMar>
        </w:tblPrEx>
        <w:trPr>
          <w:trHeight w:val="850" w:hRule="atLeast"/>
          <w:jc w:val="center"/>
        </w:trPr>
        <w:tc>
          <w:tcPr>
            <w:tcW w:w="6570" w:type="dxa"/>
            <w:gridSpan w:val="4"/>
            <w:tcBorders>
              <w:top w:val="single" w:color="000000" w:sz="4" w:space="0"/>
              <w:left w:val="single" w:color="000000" w:sz="4" w:space="0"/>
              <w:bottom w:val="single" w:color="000000" w:sz="4" w:space="0"/>
              <w:right w:val="single" w:color="000000" w:sz="4" w:space="0"/>
            </w:tcBorders>
            <w:noWrap/>
            <w:vAlign w:val="center"/>
          </w:tcPr>
          <w:p w14:paraId="74A0DBD1">
            <w:pPr>
              <w:jc w:val="center"/>
              <w:rPr>
                <w:rFonts w:hint="eastAsia" w:ascii="宋体" w:hAnsi="宋体" w:cs="宋体"/>
                <w:sz w:val="24"/>
              </w:rPr>
            </w:pPr>
            <w:r>
              <w:rPr>
                <w:rFonts w:hint="eastAsia" w:ascii="宋体" w:hAnsi="宋体" w:cs="宋体"/>
                <w:kern w:val="0"/>
                <w:sz w:val="24"/>
                <w:lang w:bidi="ar"/>
              </w:rPr>
              <w:t>合计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1DE16D">
            <w:pPr>
              <w:widowControl/>
              <w:jc w:val="center"/>
              <w:textAlignment w:val="center"/>
              <w:rPr>
                <w:rFonts w:hint="eastAsia" w:ascii="宋体" w:hAnsi="宋体" w:cs="宋体"/>
                <w:sz w:val="24"/>
              </w:rPr>
            </w:pPr>
            <w:r>
              <w:rPr>
                <w:rFonts w:hint="eastAsia" w:ascii="宋体" w:hAnsi="宋体" w:cs="宋体"/>
                <w:b/>
                <w:sz w:val="24"/>
              </w:rPr>
              <w:t>4656000.00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5E0038">
            <w:pPr>
              <w:jc w:val="center"/>
              <w:rPr>
                <w:rFonts w:hint="eastAsia" w:ascii="宋体" w:hAnsi="宋体" w:cs="宋体"/>
                <w:sz w:val="24"/>
              </w:rPr>
            </w:pPr>
          </w:p>
        </w:tc>
      </w:tr>
    </w:tbl>
    <w:p w14:paraId="064F13F3">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br w:type="page"/>
      </w:r>
    </w:p>
    <w:p w14:paraId="22BD0F65">
      <w:pPr>
        <w:spacing w:line="360" w:lineRule="auto"/>
        <w:jc w:val="left"/>
        <w:sectPr>
          <w:pgSz w:w="11906" w:h="16838"/>
          <w:pgMar w:top="1440" w:right="1803" w:bottom="1440" w:left="1803" w:header="851" w:footer="992" w:gutter="0"/>
          <w:pgNumType w:fmt="decimal"/>
          <w:cols w:space="0" w:num="1"/>
          <w:docGrid w:type="lines" w:linePitch="319" w:charSpace="0"/>
        </w:sectPr>
      </w:pPr>
    </w:p>
    <w:p w14:paraId="4A045F6C">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二、设备技术参数要求</w:t>
      </w:r>
    </w:p>
    <w:p w14:paraId="24CD81E3">
      <w:pPr>
        <w:tabs>
          <w:tab w:val="left" w:pos="426"/>
        </w:tabs>
        <w:spacing w:line="360" w:lineRule="auto"/>
        <w:rPr>
          <w:rFonts w:hint="eastAsia" w:ascii="宋体" w:hAnsi="宋体" w:cs="宋体"/>
          <w:b/>
          <w:sz w:val="24"/>
          <w:lang w:bidi="ar"/>
        </w:rPr>
      </w:pPr>
    </w:p>
    <w:tbl>
      <w:tblPr>
        <w:tblStyle w:val="23"/>
        <w:tblW w:w="14174" w:type="dxa"/>
        <w:jc w:val="center"/>
        <w:tblLayout w:type="autofit"/>
        <w:tblCellMar>
          <w:top w:w="0" w:type="dxa"/>
          <w:left w:w="108" w:type="dxa"/>
          <w:bottom w:w="0" w:type="dxa"/>
          <w:right w:w="108" w:type="dxa"/>
        </w:tblCellMar>
      </w:tblPr>
      <w:tblGrid>
        <w:gridCol w:w="876"/>
        <w:gridCol w:w="3051"/>
        <w:gridCol w:w="10247"/>
      </w:tblGrid>
      <w:tr w14:paraId="24679EBE">
        <w:trPr>
          <w:tblHeader/>
          <w:jc w:val="center"/>
        </w:trPr>
        <w:tc>
          <w:tcPr>
            <w:tcW w:w="0" w:type="auto"/>
            <w:tcBorders>
              <w:top w:val="single" w:color="000000" w:sz="8" w:space="0"/>
              <w:left w:val="single" w:color="000000" w:sz="8" w:space="0"/>
              <w:bottom w:val="single" w:color="000000" w:sz="8" w:space="0"/>
              <w:right w:val="single" w:color="000000" w:sz="8" w:space="0"/>
            </w:tcBorders>
            <w:shd w:val="clear" w:color="FFFFFF" w:fill="auto"/>
            <w:vAlign w:val="center"/>
          </w:tcPr>
          <w:p w14:paraId="4180411E">
            <w:pPr>
              <w:widowControl/>
              <w:snapToGrid w:val="0"/>
              <w:jc w:val="center"/>
              <w:textAlignment w:val="center"/>
              <w:rPr>
                <w:rFonts w:hint="eastAsia" w:ascii="方正黑体_GBK" w:hAnsi="方正黑体_GBK" w:eastAsia="方正黑体_GBK" w:cs="方正黑体_GBK"/>
                <w:b/>
                <w:bCs/>
                <w:color w:val="000000" w:themeColor="text1"/>
                <w:sz w:val="24"/>
                <w:szCs w:val="24"/>
                <w:highlight w:val="none"/>
                <w14:textFill>
                  <w14:solidFill>
                    <w14:schemeClr w14:val="tx1"/>
                  </w14:solidFill>
                </w14:textFill>
              </w:rPr>
            </w:pPr>
            <w:r>
              <w:rPr>
                <w:rFonts w:hint="eastAsia" w:ascii="方正黑体_GBK" w:hAnsi="方正黑体_GBK" w:eastAsia="方正黑体_GBK" w:cs="方正黑体_GBK"/>
                <w:b/>
                <w:bCs/>
                <w:color w:val="000000" w:themeColor="text1"/>
                <w:kern w:val="0"/>
                <w:sz w:val="24"/>
                <w:szCs w:val="24"/>
                <w:highlight w:val="none"/>
                <w:lang w:bidi="ar"/>
                <w14:textFill>
                  <w14:solidFill>
                    <w14:schemeClr w14:val="tx1"/>
                  </w14:solidFill>
                </w14:textFill>
              </w:rPr>
              <w:t>采购序号</w:t>
            </w:r>
          </w:p>
        </w:tc>
        <w:tc>
          <w:tcPr>
            <w:tcW w:w="3051" w:type="dxa"/>
            <w:tcBorders>
              <w:top w:val="single" w:color="000000" w:sz="8" w:space="0"/>
              <w:left w:val="single" w:color="000000" w:sz="8" w:space="0"/>
              <w:bottom w:val="single" w:color="000000" w:sz="8" w:space="0"/>
              <w:right w:val="single" w:color="000000" w:sz="8" w:space="0"/>
            </w:tcBorders>
            <w:shd w:val="clear" w:color="FFFFFF" w:fill="auto"/>
            <w:vAlign w:val="center"/>
          </w:tcPr>
          <w:p w14:paraId="4B2B8DE5">
            <w:pPr>
              <w:widowControl/>
              <w:snapToGrid w:val="0"/>
              <w:jc w:val="center"/>
              <w:textAlignment w:val="center"/>
              <w:rPr>
                <w:rFonts w:hint="eastAsia" w:ascii="方正黑体_GBK" w:hAnsi="方正黑体_GBK" w:eastAsia="方正黑体_GBK" w:cs="方正黑体_GBK"/>
                <w:b/>
                <w:bCs/>
                <w:color w:val="000000" w:themeColor="text1"/>
                <w:sz w:val="24"/>
                <w:szCs w:val="24"/>
                <w:highlight w:val="none"/>
                <w14:textFill>
                  <w14:solidFill>
                    <w14:schemeClr w14:val="tx1"/>
                  </w14:solidFill>
                </w14:textFill>
              </w:rPr>
            </w:pPr>
            <w:r>
              <w:rPr>
                <w:rFonts w:hint="eastAsia" w:ascii="方正黑体_GBK" w:hAnsi="方正黑体_GBK" w:eastAsia="方正黑体_GBK" w:cs="方正黑体_GBK"/>
                <w:b/>
                <w:bCs/>
                <w:color w:val="000000" w:themeColor="text1"/>
                <w:kern w:val="0"/>
                <w:sz w:val="24"/>
                <w:szCs w:val="24"/>
                <w:highlight w:val="none"/>
                <w:lang w:bidi="ar"/>
                <w14:textFill>
                  <w14:solidFill>
                    <w14:schemeClr w14:val="tx1"/>
                  </w14:solidFill>
                </w14:textFill>
              </w:rPr>
              <w:t>设备名称</w:t>
            </w:r>
          </w:p>
        </w:tc>
        <w:tc>
          <w:tcPr>
            <w:tcW w:w="10247" w:type="dxa"/>
            <w:tcBorders>
              <w:top w:val="single" w:color="000000" w:sz="8" w:space="0"/>
              <w:left w:val="single" w:color="000000" w:sz="8" w:space="0"/>
              <w:bottom w:val="single" w:color="000000" w:sz="8" w:space="0"/>
              <w:right w:val="single" w:color="000000" w:sz="8" w:space="0"/>
            </w:tcBorders>
            <w:shd w:val="clear" w:color="FFFFFF" w:fill="auto"/>
            <w:vAlign w:val="center"/>
          </w:tcPr>
          <w:p w14:paraId="39395FA3">
            <w:pPr>
              <w:widowControl/>
              <w:snapToGrid w:val="0"/>
              <w:jc w:val="center"/>
              <w:textAlignment w:val="center"/>
              <w:rPr>
                <w:rFonts w:hint="eastAsia" w:ascii="方正黑体_GBK" w:hAnsi="宋体" w:eastAsia="方正黑体_GBK" w:cs="宋体"/>
                <w:b/>
                <w:bCs/>
                <w:color w:val="000000" w:themeColor="text1"/>
                <w:sz w:val="24"/>
                <w:szCs w:val="24"/>
                <w:highlight w:val="none"/>
                <w14:textFill>
                  <w14:solidFill>
                    <w14:schemeClr w14:val="tx1"/>
                  </w14:solidFill>
                </w14:textFill>
              </w:rPr>
            </w:pPr>
            <w:r>
              <w:rPr>
                <w:rFonts w:hint="eastAsia" w:ascii="方正黑体_GBK" w:hAnsi="宋体" w:eastAsia="方正黑体_GBK" w:cs="宋体"/>
                <w:b/>
                <w:bCs/>
                <w:color w:val="000000" w:themeColor="text1"/>
                <w:kern w:val="0"/>
                <w:sz w:val="24"/>
                <w:szCs w:val="24"/>
                <w:highlight w:val="none"/>
                <w:lang w:bidi="ar"/>
                <w14:textFill>
                  <w14:solidFill>
                    <w14:schemeClr w14:val="tx1"/>
                  </w14:solidFill>
                </w14:textFill>
              </w:rPr>
              <w:t>技术参数</w:t>
            </w:r>
          </w:p>
        </w:tc>
      </w:tr>
      <w:tr w14:paraId="18B235A3">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59904A3C">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1</w:t>
            </w:r>
          </w:p>
        </w:tc>
        <w:tc>
          <w:tcPr>
            <w:tcW w:w="3051" w:type="dxa"/>
            <w:tcBorders>
              <w:top w:val="single" w:color="000000" w:sz="8" w:space="0"/>
              <w:left w:val="single" w:color="000000" w:sz="8" w:space="0"/>
              <w:bottom w:val="single" w:color="000000" w:sz="8" w:space="0"/>
              <w:right w:val="single" w:color="000000" w:sz="8" w:space="0"/>
            </w:tcBorders>
            <w:vAlign w:val="center"/>
          </w:tcPr>
          <w:p w14:paraId="6D2A97AE">
            <w:pPr>
              <w:widowControl/>
              <w:snapToGrid w:val="0"/>
              <w:jc w:val="left"/>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大流量低浓度烟尘气测试仪（带紫外模块）</w:t>
            </w:r>
          </w:p>
        </w:tc>
        <w:tc>
          <w:tcPr>
            <w:tcW w:w="10247" w:type="dxa"/>
            <w:tcBorders>
              <w:top w:val="single" w:color="000000" w:sz="8" w:space="0"/>
              <w:left w:val="single" w:color="000000" w:sz="8" w:space="0"/>
              <w:bottom w:val="single" w:color="000000" w:sz="8" w:space="0"/>
              <w:right w:val="single" w:color="000000" w:sz="8" w:space="0"/>
            </w:tcBorders>
            <w:vAlign w:val="center"/>
          </w:tcPr>
          <w:p w14:paraId="7C676E9B">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HJ 1131-2020   固定污染源废气 二氧化硫的测定 便携式紫外吸收法</w:t>
            </w:r>
          </w:p>
          <w:p w14:paraId="54F52DE8">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HJ 1132-2020   固定污染源废气 氮氧化物的测定 便携式紫外吸收法</w:t>
            </w:r>
          </w:p>
          <w:p w14:paraId="78A7D8DF">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GB/T 16157-1996   固定污染源排气中颗粒物测定与气态污染物采样方法</w:t>
            </w:r>
          </w:p>
          <w:p w14:paraId="113C87B7">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HJ 836-2017   固定污染源废气 低浓度颗粒物的测定 重量法</w:t>
            </w:r>
          </w:p>
          <w:p w14:paraId="66F72222">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 xml:space="preserve">主要要求： </w:t>
            </w:r>
          </w:p>
          <w:p w14:paraId="5F6AA5A4">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 xml:space="preserve">一、仪器主要性能： </w:t>
            </w:r>
          </w:p>
          <w:p w14:paraId="28F34211">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1.可完成固定污染源废气中浓度低于20mg/m</w:t>
            </w:r>
            <w:r>
              <w:rPr>
                <w:rFonts w:hint="eastAsia" w:ascii="宋体" w:hAnsi="宋体" w:eastAsia="宋体" w:cs="宋体"/>
                <w:color w:val="000000" w:themeColor="text1"/>
                <w:sz w:val="22"/>
                <w:szCs w:val="22"/>
                <w:highlight w:val="none"/>
                <w:vertAlign w:val="superscript"/>
                <w14:textFill>
                  <w14:solidFill>
                    <w14:schemeClr w14:val="tx1"/>
                  </w14:solidFill>
                </w14:textFill>
              </w:rPr>
              <w:t>3</w:t>
            </w:r>
            <w:r>
              <w:rPr>
                <w:rFonts w:hint="eastAsia" w:ascii="宋体" w:hAnsi="宋体" w:eastAsia="宋体" w:cs="宋体"/>
                <w:color w:val="000000" w:themeColor="text1"/>
                <w:sz w:val="22"/>
                <w:szCs w:val="22"/>
                <w:highlight w:val="none"/>
                <w14:textFill>
                  <w14:solidFill>
                    <w14:schemeClr w14:val="tx1"/>
                  </w14:solidFill>
                </w14:textFill>
              </w:rPr>
              <w:t>的颗粒物测定。</w:t>
            </w:r>
          </w:p>
          <w:p w14:paraId="6BDD6446">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2.微电脑控制等速跟踪采样，精确电子流量计控制，实时监测计温、计压，自动调节流量；</w:t>
            </w:r>
          </w:p>
          <w:p w14:paraId="3E62F05C">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3.仪器内置弹性气容、精密压力传感器搭配稳定的流量控制，可实现流量超低流速的稳定控制与跟踪；</w:t>
            </w:r>
          </w:p>
          <w:p w14:paraId="5C71ED2E">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4.具有防倒吸功能，可防止采样结束后采集的烟尘被倒吸，保证采样数据的准确性；</w:t>
            </w:r>
          </w:p>
          <w:p w14:paraId="48CD746C">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5.实时记录设备工作状态数据，具有采样过程停电记忆功能；</w:t>
            </w:r>
          </w:p>
          <w:p w14:paraId="6ECDAE09">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6.兼容干湿球法和阻容法两种测量模式；</w:t>
            </w:r>
          </w:p>
          <w:p w14:paraId="74DAE15C">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7</w:t>
            </w:r>
            <w:r>
              <w:rPr>
                <w:rFonts w:hint="eastAsia" w:ascii="宋体" w:hAnsi="宋体" w:eastAsia="宋体" w:cs="宋体"/>
                <w:color w:val="000000" w:themeColor="text1"/>
                <w:sz w:val="22"/>
                <w:szCs w:val="22"/>
                <w:highlight w:val="none"/>
                <w14:textFill>
                  <w14:solidFill>
                    <w14:schemeClr w14:val="tx1"/>
                  </w14:solidFill>
                </w14:textFill>
              </w:rPr>
              <w:t>.</w:t>
            </w:r>
            <w:r>
              <w:rPr>
                <w:rFonts w:hint="eastAsia" w:ascii="宋体" w:hAnsi="宋体" w:eastAsia="宋体" w:cs="宋体"/>
                <w:color w:val="000000" w:themeColor="text1"/>
                <w:spacing w:val="0"/>
                <w:position w:val="0"/>
                <w:sz w:val="21"/>
                <w:szCs w:val="21"/>
                <w:highlight w:val="none"/>
                <w14:textFill>
                  <w14:solidFill>
                    <w14:schemeClr w14:val="tx1"/>
                  </w14:solidFill>
                </w14:textFill>
              </w:rPr>
              <w:t>具有烟尘测量、烟气分析或烟气采样两种</w:t>
            </w:r>
            <w:r>
              <w:rPr>
                <w:rFonts w:hint="eastAsia" w:ascii="宋体" w:hAnsi="宋体" w:eastAsia="宋体" w:cs="宋体"/>
                <w:color w:val="000000" w:themeColor="text1"/>
                <w:spacing w:val="0"/>
                <w:position w:val="0"/>
                <w:sz w:val="21"/>
                <w:szCs w:val="21"/>
                <w:highlight w:val="none"/>
                <w:lang w:val="en-US" w:eastAsia="zh-CN"/>
                <w14:textFill>
                  <w14:solidFill>
                    <w14:schemeClr w14:val="tx1"/>
                  </w14:solidFill>
                </w14:textFill>
              </w:rPr>
              <w:t>或三种</w:t>
            </w:r>
            <w:r>
              <w:rPr>
                <w:rFonts w:hint="eastAsia" w:ascii="宋体" w:hAnsi="宋体" w:eastAsia="宋体" w:cs="宋体"/>
                <w:color w:val="000000" w:themeColor="text1"/>
                <w:spacing w:val="0"/>
                <w:position w:val="0"/>
                <w:sz w:val="21"/>
                <w:szCs w:val="21"/>
                <w:highlight w:val="none"/>
                <w14:textFill>
                  <w14:solidFill>
                    <w14:schemeClr w14:val="tx1"/>
                  </w14:solidFill>
                </w14:textFill>
              </w:rPr>
              <w:t>同步运行功能；</w:t>
            </w:r>
          </w:p>
          <w:p w14:paraId="6A826328">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8</w:t>
            </w:r>
            <w:r>
              <w:rPr>
                <w:rFonts w:hint="eastAsia" w:ascii="宋体" w:hAnsi="宋体" w:eastAsia="宋体" w:cs="宋体"/>
                <w:color w:val="000000" w:themeColor="text1"/>
                <w:sz w:val="22"/>
                <w:szCs w:val="22"/>
                <w:highlight w:val="none"/>
                <w14:textFill>
                  <w14:solidFill>
                    <w14:schemeClr w14:val="tx1"/>
                  </w14:solidFill>
                </w14:textFill>
              </w:rPr>
              <w:t>.高效采样泵，耐腐蚀，流量可达120L/min，连续运转免维护，适应各种工况，具有过载保护功能；</w:t>
            </w:r>
          </w:p>
          <w:p w14:paraId="56D6F4A1">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9</w:t>
            </w:r>
            <w:r>
              <w:rPr>
                <w:rFonts w:hint="eastAsia" w:ascii="宋体" w:hAnsi="宋体" w:eastAsia="宋体" w:cs="宋体"/>
                <w:color w:val="000000" w:themeColor="text1"/>
                <w:sz w:val="22"/>
                <w:szCs w:val="22"/>
                <w:highlight w:val="none"/>
                <w14:textFill>
                  <w14:solidFill>
                    <w14:schemeClr w14:val="tx1"/>
                  </w14:solidFill>
                </w14:textFill>
              </w:rPr>
              <w:t>.工况测量支持有线或无线双通信模式；</w:t>
            </w:r>
          </w:p>
          <w:p w14:paraId="4278DBA2">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0</w:t>
            </w:r>
            <w:r>
              <w:rPr>
                <w:rFonts w:hint="eastAsia" w:ascii="宋体" w:hAnsi="宋体" w:eastAsia="宋体" w:cs="宋体"/>
                <w:color w:val="000000" w:themeColor="text1"/>
                <w:sz w:val="22"/>
                <w:szCs w:val="22"/>
                <w:highlight w:val="none"/>
                <w14:textFill>
                  <w14:solidFill>
                    <w14:schemeClr w14:val="tx1"/>
                  </w14:solidFill>
                </w14:textFill>
              </w:rPr>
              <w:t>.具备气密性自动检测功能，可自动诊断气路的气密性；</w:t>
            </w:r>
          </w:p>
          <w:p w14:paraId="7CF44EA5">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14:textFill>
                  <w14:solidFill>
                    <w14:schemeClr w14:val="tx1"/>
                  </w14:solidFill>
                </w14:textFill>
              </w:rPr>
              <w:t>.高效气水分离器设计；</w:t>
            </w:r>
          </w:p>
          <w:p w14:paraId="5641AC86">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14:textFill>
                  <w14:solidFill>
                    <w14:schemeClr w14:val="tx1"/>
                  </w14:solidFill>
                </w14:textFill>
              </w:rPr>
              <w:t>.烟尘采样</w:t>
            </w:r>
            <w:r>
              <w:rPr>
                <w:rFonts w:hint="eastAsia" w:ascii="宋体" w:hAnsi="宋体" w:eastAsia="宋体" w:cs="宋体"/>
                <w:color w:val="000000" w:themeColor="text1"/>
                <w:sz w:val="22"/>
                <w:szCs w:val="22"/>
                <w:highlight w:val="none"/>
                <w:lang w:eastAsia="zh-CN"/>
                <w14:textFill>
                  <w14:solidFill>
                    <w14:schemeClr w14:val="tx1"/>
                  </w14:solidFill>
                </w14:textFill>
              </w:rPr>
              <w:t>或</w:t>
            </w:r>
            <w:r>
              <w:rPr>
                <w:rFonts w:hint="eastAsia" w:ascii="宋体" w:hAnsi="宋体" w:eastAsia="宋体" w:cs="宋体"/>
                <w:color w:val="000000" w:themeColor="text1"/>
                <w:sz w:val="22"/>
                <w:szCs w:val="22"/>
                <w:highlight w:val="none"/>
                <w14:textFill>
                  <w14:solidFill>
                    <w14:schemeClr w14:val="tx1"/>
                  </w14:solidFill>
                </w14:textFill>
              </w:rPr>
              <w:t>烟气分析气路具有独立排水功能，可自动排出冷凝水；</w:t>
            </w:r>
          </w:p>
          <w:p w14:paraId="06131C77">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3</w:t>
            </w:r>
            <w:r>
              <w:rPr>
                <w:rFonts w:hint="eastAsia" w:ascii="宋体" w:hAnsi="宋体" w:eastAsia="宋体" w:cs="宋体"/>
                <w:color w:val="000000" w:themeColor="text1"/>
                <w:sz w:val="22"/>
                <w:szCs w:val="22"/>
                <w:highlight w:val="none"/>
                <w14:textFill>
                  <w14:solidFill>
                    <w14:schemeClr w14:val="tx1"/>
                  </w14:solidFill>
                </w14:textFill>
              </w:rPr>
              <w:t>.气体分析采用紫外光学模块，采用差分吸收光谱技术（DOAS）；</w:t>
            </w:r>
          </w:p>
          <w:p w14:paraId="4DA14FE3">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4</w:t>
            </w:r>
            <w:r>
              <w:rPr>
                <w:rFonts w:hint="eastAsia" w:ascii="宋体" w:hAnsi="宋体" w:eastAsia="宋体" w:cs="宋体"/>
                <w:color w:val="000000" w:themeColor="text1"/>
                <w:sz w:val="22"/>
                <w:szCs w:val="22"/>
                <w:highlight w:val="none"/>
                <w14:textFill>
                  <w14:solidFill>
                    <w14:schemeClr w14:val="tx1"/>
                  </w14:solidFill>
                </w14:textFill>
              </w:rPr>
              <w:t xml:space="preserve">.烟气分析模块具有加热保温和温度补偿修正功能； </w:t>
            </w:r>
          </w:p>
          <w:p w14:paraId="08195C70">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5</w:t>
            </w:r>
            <w:r>
              <w:rPr>
                <w:rFonts w:hint="eastAsia" w:ascii="宋体" w:hAnsi="宋体" w:eastAsia="宋体" w:cs="宋体"/>
                <w:color w:val="000000" w:themeColor="text1"/>
                <w:sz w:val="22"/>
                <w:szCs w:val="22"/>
                <w:highlight w:val="none"/>
                <w14:textFill>
                  <w14:solidFill>
                    <w14:schemeClr w14:val="tx1"/>
                  </w14:solidFill>
                </w14:textFill>
              </w:rPr>
              <w:t>.支持外部交、直流两种供电方式，可更换内置锂电池组；</w:t>
            </w:r>
          </w:p>
          <w:p w14:paraId="09D802C3">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6</w:t>
            </w:r>
            <w:r>
              <w:rPr>
                <w:rFonts w:hint="eastAsia" w:ascii="宋体" w:hAnsi="宋体" w:eastAsia="宋体" w:cs="宋体"/>
                <w:color w:val="000000" w:themeColor="text1"/>
                <w:sz w:val="22"/>
                <w:szCs w:val="22"/>
                <w:highlight w:val="none"/>
                <w14:textFill>
                  <w14:solidFill>
                    <w14:schemeClr w14:val="tx1"/>
                  </w14:solidFill>
                </w14:textFill>
              </w:rPr>
              <w:t>.具有烟尘测量、烟气分析、烟气采样功能切换物理快捷键；</w:t>
            </w:r>
          </w:p>
          <w:p w14:paraId="5DAA4C54">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7</w:t>
            </w:r>
            <w:r>
              <w:rPr>
                <w:rFonts w:hint="eastAsia" w:ascii="宋体" w:hAnsi="宋体" w:eastAsia="宋体" w:cs="宋体"/>
                <w:color w:val="000000" w:themeColor="text1"/>
                <w:sz w:val="22"/>
                <w:szCs w:val="22"/>
                <w:highlight w:val="none"/>
                <w14:textFill>
                  <w14:solidFill>
                    <w14:schemeClr w14:val="tx1"/>
                  </w14:solidFill>
                </w14:textFill>
              </w:rPr>
              <w:t>.具备RS232、USB等接口，支持数据通信，U盘数据转存输出，预留物联网模块接口，可拓展联网功能；</w:t>
            </w:r>
          </w:p>
          <w:p w14:paraId="2B3833DA">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8</w:t>
            </w:r>
            <w:r>
              <w:rPr>
                <w:rFonts w:hint="eastAsia" w:ascii="宋体" w:hAnsi="宋体" w:eastAsia="宋体" w:cs="宋体"/>
                <w:color w:val="000000" w:themeColor="text1"/>
                <w:sz w:val="22"/>
                <w:szCs w:val="22"/>
                <w:highlight w:val="none"/>
                <w14:textFill>
                  <w14:solidFill>
                    <w14:schemeClr w14:val="tx1"/>
                  </w14:solidFill>
                </w14:textFill>
              </w:rPr>
              <w:t>. 具备故障自检功能，可对仪器功能进行检测并提示故障；</w:t>
            </w:r>
          </w:p>
          <w:p w14:paraId="092773C8">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19</w:t>
            </w:r>
            <w:r>
              <w:rPr>
                <w:rFonts w:hint="eastAsia" w:ascii="宋体" w:hAnsi="宋体" w:eastAsia="宋体" w:cs="宋体"/>
                <w:color w:val="000000" w:themeColor="text1"/>
                <w:sz w:val="22"/>
                <w:szCs w:val="22"/>
                <w:highlight w:val="none"/>
                <w14:textFill>
                  <w14:solidFill>
                    <w14:schemeClr w14:val="tx1"/>
                  </w14:solidFill>
                </w14:textFill>
              </w:rPr>
              <w:t>.蓝牙热敏打印机，有线或无线打印模式；</w:t>
            </w:r>
          </w:p>
          <w:p w14:paraId="0B3D86E2">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w:t>
            </w:r>
            <w:r>
              <w:rPr>
                <w:rFonts w:hint="eastAsia" w:ascii="宋体" w:hAnsi="宋体" w:eastAsia="宋体" w:cs="宋体"/>
                <w:color w:val="000000" w:themeColor="text1"/>
                <w:sz w:val="22"/>
                <w:szCs w:val="22"/>
                <w:highlight w:val="none"/>
                <w:lang w:val="en-US" w:eastAsia="zh-CN"/>
                <w14:textFill>
                  <w14:solidFill>
                    <w14:schemeClr w14:val="tx1"/>
                  </w14:solidFill>
                </w14:textFill>
              </w:rPr>
              <w:t>0</w:t>
            </w:r>
            <w:r>
              <w:rPr>
                <w:rFonts w:hint="eastAsia" w:ascii="宋体" w:hAnsi="宋体" w:eastAsia="宋体" w:cs="宋体"/>
                <w:color w:val="000000" w:themeColor="text1"/>
                <w:sz w:val="22"/>
                <w:szCs w:val="22"/>
                <w:highlight w:val="none"/>
                <w14:textFill>
                  <w14:solidFill>
                    <w14:schemeClr w14:val="tx1"/>
                  </w14:solidFill>
                </w14:textFill>
              </w:rPr>
              <w:t>.仪器内置电子标签，可与仪器出入库管理平台软件配合实现仪器智能化管理；</w:t>
            </w:r>
          </w:p>
          <w:p w14:paraId="32EB0287">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2</w:t>
            </w:r>
            <w:r>
              <w:rPr>
                <w:rFonts w:hint="eastAsia" w:ascii="宋体" w:hAnsi="宋体" w:eastAsia="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14:textFill>
                  <w14:solidFill>
                    <w14:schemeClr w14:val="tx1"/>
                  </w14:solidFill>
                </w14:textFill>
              </w:rPr>
              <w:t>.内置自动定位、授时功能、防篡改功能；</w:t>
            </w:r>
          </w:p>
          <w:p w14:paraId="39935817">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w:t>
            </w:r>
            <w:r>
              <w:rPr>
                <w:rFonts w:hint="eastAsia" w:ascii="宋体" w:hAnsi="宋体" w:eastAsia="宋体" w:cs="宋体"/>
                <w:color w:val="000000" w:themeColor="text1"/>
                <w:sz w:val="22"/>
                <w:szCs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14:textFill>
                  <w14:solidFill>
                    <w14:schemeClr w14:val="tx1"/>
                  </w14:solidFill>
                </w14:textFill>
              </w:rPr>
              <w:t xml:space="preserve">.具有手机APP无线控制及工作状态显示功能，且手机APP具有文件获取和转存功能； </w:t>
            </w:r>
          </w:p>
          <w:p w14:paraId="025A3DE3">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二、主要技术指标：</w:t>
            </w:r>
          </w:p>
          <w:p w14:paraId="481E0205">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1.烟尘采样技术指标要求</w:t>
            </w:r>
          </w:p>
          <w:p w14:paraId="2C4577D2">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■1.1 采样流量：（0～120）L/min；分辨率：0.1L/min；准确度：不超过±2.5%；</w:t>
            </w:r>
          </w:p>
          <w:p w14:paraId="7D478F46">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1.2 烟气动压：（0～2000）Pa；分辨率：1Pa；准确度：不超过±1%FS；</w:t>
            </w:r>
          </w:p>
          <w:p w14:paraId="6BD62198">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1.3 烟气静压：（-30～30）kPa；分辨率：0.01kPa；准确度：不超过±1%FS；</w:t>
            </w:r>
          </w:p>
          <w:p w14:paraId="14C1771B">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1.4 流量计前压力：（-60～0）kPa；分辨率：0.01kPa；准确度：不超过±1%FS；</w:t>
            </w:r>
          </w:p>
          <w:p w14:paraId="11DB826B">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1.5 流量计前温度：（-55～125）℃；分辨率：0.1℃；准确度：不超过±2.5℃；</w:t>
            </w:r>
          </w:p>
          <w:p w14:paraId="1E177A8F">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1.6 烟气温度：（0～500）℃；分辨率：0.1℃；准确度：不超过±3.0℃；</w:t>
            </w:r>
          </w:p>
          <w:p w14:paraId="63B214D2">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1.7 等速吸引流速：（5～45）m/s；分辨率：0.1m/s；准确度：±5.0%；</w:t>
            </w:r>
          </w:p>
          <w:p w14:paraId="449E3A54">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1.8大气压：（50～130）kPa；分辨率：0.01kPa；准确度：不超过±0.5kPa ；</w:t>
            </w:r>
          </w:p>
          <w:p w14:paraId="6F12A130">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1.9 含湿量：（0～40）%；分辨率：0.01%；准确度：（0～5）% 绝对误差≤±0.75%；</w:t>
            </w:r>
          </w:p>
          <w:p w14:paraId="0C1FA89E">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1.10 最大采样体积：999999.9L；分辨率：0.1L；准确度：不超过±2.5%；</w:t>
            </w:r>
          </w:p>
          <w:p w14:paraId="5B317524">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1.11 等速跟踪响应时间：≤20s；</w:t>
            </w:r>
          </w:p>
          <w:p w14:paraId="71F58096">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■1.12 采样泵负载能力：≥60L/min(阻力为20kPa时)；</w:t>
            </w:r>
          </w:p>
          <w:p w14:paraId="554DF30A">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2.烟气技术指标要求</w:t>
            </w:r>
          </w:p>
          <w:p w14:paraId="5C5BD118">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2.1 采样流量：0.5L/min，分辨率0.1L/min；</w:t>
            </w:r>
          </w:p>
          <w:p w14:paraId="702411A9">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2.2  O</w:t>
            </w:r>
            <w:r>
              <w:rPr>
                <w:rFonts w:hint="eastAsia" w:ascii="宋体" w:hAnsi="宋体" w:eastAsia="宋体" w:cs="宋体"/>
                <w:color w:val="000000" w:themeColor="text1"/>
                <w:sz w:val="22"/>
                <w:szCs w:val="22"/>
                <w:highlight w:val="none"/>
                <w:vertAlign w:val="subscript"/>
                <w14:textFill>
                  <w14:solidFill>
                    <w14:schemeClr w14:val="tx1"/>
                  </w14:solidFill>
                </w14:textFill>
              </w:rPr>
              <w:t>2</w:t>
            </w:r>
            <w:r>
              <w:rPr>
                <w:rFonts w:hint="eastAsia" w:ascii="宋体" w:hAnsi="宋体" w:eastAsia="宋体" w:cs="宋体"/>
                <w:color w:val="000000" w:themeColor="text1"/>
                <w:sz w:val="22"/>
                <w:szCs w:val="22"/>
                <w:highlight w:val="none"/>
                <w14:textFill>
                  <w14:solidFill>
                    <w14:schemeClr w14:val="tx1"/>
                  </w14:solidFill>
                </w14:textFill>
              </w:rPr>
              <w:t>（电化学方法）：（0～30）% ；分辨率：0.1%；CO（电化学方法）：5000mg/m3；</w:t>
            </w:r>
          </w:p>
          <w:p w14:paraId="4311C5D8">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2.3  SO</w:t>
            </w:r>
            <w:r>
              <w:rPr>
                <w:rFonts w:hint="eastAsia" w:ascii="宋体" w:hAnsi="宋体" w:eastAsia="宋体" w:cs="宋体"/>
                <w:color w:val="000000" w:themeColor="text1"/>
                <w:sz w:val="22"/>
                <w:szCs w:val="22"/>
                <w:highlight w:val="none"/>
                <w:vertAlign w:val="subscript"/>
                <w14:textFill>
                  <w14:solidFill>
                    <w14:schemeClr w14:val="tx1"/>
                  </w14:solidFill>
                </w14:textFill>
              </w:rPr>
              <w:t>2</w:t>
            </w:r>
            <w:r>
              <w:rPr>
                <w:rFonts w:hint="eastAsia" w:ascii="宋体" w:hAnsi="宋体" w:eastAsia="宋体" w:cs="宋体"/>
                <w:color w:val="000000" w:themeColor="text1"/>
                <w:sz w:val="22"/>
                <w:szCs w:val="22"/>
                <w:highlight w:val="none"/>
                <w14:textFill>
                  <w14:solidFill>
                    <w14:schemeClr w14:val="tx1"/>
                  </w14:solidFill>
                </w14:textFill>
              </w:rPr>
              <w:t>低（紫外差分法）：（0～42</w:t>
            </w:r>
            <w:r>
              <w:rPr>
                <w:rFonts w:hint="eastAsia" w:ascii="宋体" w:hAnsi="宋体" w:eastAsia="宋体" w:cs="宋体"/>
                <w:color w:val="000000" w:themeColor="text1"/>
                <w:sz w:val="22"/>
                <w:szCs w:val="22"/>
                <w:highlight w:val="none"/>
                <w:lang w:val="en-US" w:eastAsia="zh-CN"/>
                <w14:textFill>
                  <w14:solidFill>
                    <w14:schemeClr w14:val="tx1"/>
                  </w14:solidFill>
                </w14:textFill>
              </w:rPr>
              <w:t>0</w:t>
            </w:r>
            <w:r>
              <w:rPr>
                <w:rFonts w:hint="eastAsia" w:ascii="宋体" w:hAnsi="宋体" w:eastAsia="宋体" w:cs="宋体"/>
                <w:color w:val="000000" w:themeColor="text1"/>
                <w:sz w:val="22"/>
                <w:szCs w:val="22"/>
                <w:highlight w:val="none"/>
                <w14:textFill>
                  <w14:solidFill>
                    <w14:schemeClr w14:val="tx1"/>
                  </w14:solidFill>
                </w14:textFill>
              </w:rPr>
              <w:t>）mg/m</w:t>
            </w:r>
            <w:r>
              <w:rPr>
                <w:rFonts w:hint="eastAsia" w:ascii="宋体" w:hAnsi="宋体" w:eastAsia="宋体" w:cs="宋体"/>
                <w:color w:val="000000" w:themeColor="text1"/>
                <w:sz w:val="22"/>
                <w:szCs w:val="22"/>
                <w:highlight w:val="none"/>
                <w:vertAlign w:val="superscript"/>
                <w14:textFill>
                  <w14:solidFill>
                    <w14:schemeClr w14:val="tx1"/>
                  </w14:solidFill>
                </w14:textFill>
              </w:rPr>
              <w:t>3</w:t>
            </w:r>
            <w:r>
              <w:rPr>
                <w:rFonts w:hint="eastAsia" w:ascii="宋体" w:hAnsi="宋体" w:eastAsia="宋体" w:cs="宋体"/>
                <w:color w:val="000000" w:themeColor="text1"/>
                <w:sz w:val="22"/>
                <w:szCs w:val="22"/>
                <w:highlight w:val="none"/>
                <w14:textFill>
                  <w14:solidFill>
                    <w14:schemeClr w14:val="tx1"/>
                  </w14:solidFill>
                </w14:textFill>
              </w:rPr>
              <w:t>；分辨率：0.1mg/m</w:t>
            </w:r>
            <w:r>
              <w:rPr>
                <w:rFonts w:hint="eastAsia" w:ascii="宋体" w:hAnsi="宋体" w:eastAsia="宋体" w:cs="宋体"/>
                <w:color w:val="000000" w:themeColor="text1"/>
                <w:sz w:val="22"/>
                <w:szCs w:val="22"/>
                <w:highlight w:val="none"/>
                <w:vertAlign w:val="superscript"/>
                <w14:textFill>
                  <w14:solidFill>
                    <w14:schemeClr w14:val="tx1"/>
                  </w14:solidFill>
                </w14:textFill>
              </w:rPr>
              <w:t>3</w:t>
            </w:r>
            <w:r>
              <w:rPr>
                <w:rFonts w:hint="eastAsia" w:ascii="宋体" w:hAnsi="宋体" w:eastAsia="宋体" w:cs="宋体"/>
                <w:color w:val="000000" w:themeColor="text1"/>
                <w:sz w:val="22"/>
                <w:szCs w:val="22"/>
                <w:highlight w:val="none"/>
                <w14:textFill>
                  <w14:solidFill>
                    <w14:schemeClr w14:val="tx1"/>
                  </w14:solidFill>
                </w14:textFill>
              </w:rPr>
              <w:t>；</w:t>
            </w:r>
          </w:p>
          <w:p w14:paraId="5AB26B37">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2.4  SO</w:t>
            </w:r>
            <w:r>
              <w:rPr>
                <w:rFonts w:hint="eastAsia" w:ascii="宋体" w:hAnsi="宋体" w:eastAsia="宋体" w:cs="宋体"/>
                <w:color w:val="000000" w:themeColor="text1"/>
                <w:sz w:val="22"/>
                <w:szCs w:val="22"/>
                <w:highlight w:val="none"/>
                <w:vertAlign w:val="subscript"/>
                <w14:textFill>
                  <w14:solidFill>
                    <w14:schemeClr w14:val="tx1"/>
                  </w14:solidFill>
                </w14:textFill>
              </w:rPr>
              <w:t>2</w:t>
            </w:r>
            <w:r>
              <w:rPr>
                <w:rFonts w:hint="eastAsia" w:ascii="宋体" w:hAnsi="宋体" w:eastAsia="宋体" w:cs="宋体"/>
                <w:color w:val="000000" w:themeColor="text1"/>
                <w:sz w:val="22"/>
                <w:szCs w:val="22"/>
                <w:highlight w:val="none"/>
                <w14:textFill>
                  <w14:solidFill>
                    <w14:schemeClr w14:val="tx1"/>
                  </w14:solidFill>
                </w14:textFill>
              </w:rPr>
              <w:t>高（紫外差分法）：（0～42</w:t>
            </w:r>
            <w:r>
              <w:rPr>
                <w:rFonts w:hint="eastAsia" w:ascii="宋体" w:hAnsi="宋体" w:eastAsia="宋体" w:cs="宋体"/>
                <w:color w:val="000000" w:themeColor="text1"/>
                <w:sz w:val="22"/>
                <w:szCs w:val="22"/>
                <w:highlight w:val="none"/>
                <w:lang w:val="en-US" w:eastAsia="zh-CN"/>
                <w14:textFill>
                  <w14:solidFill>
                    <w14:schemeClr w14:val="tx1"/>
                  </w14:solidFill>
                </w14:textFill>
              </w:rPr>
              <w:t>00</w:t>
            </w:r>
            <w:r>
              <w:rPr>
                <w:rFonts w:hint="eastAsia" w:ascii="宋体" w:hAnsi="宋体" w:eastAsia="宋体" w:cs="宋体"/>
                <w:color w:val="000000" w:themeColor="text1"/>
                <w:sz w:val="22"/>
                <w:szCs w:val="22"/>
                <w:highlight w:val="none"/>
                <w14:textFill>
                  <w14:solidFill>
                    <w14:schemeClr w14:val="tx1"/>
                  </w14:solidFill>
                </w14:textFill>
              </w:rPr>
              <w:t>）mg/m</w:t>
            </w:r>
            <w:r>
              <w:rPr>
                <w:rFonts w:hint="eastAsia" w:ascii="宋体" w:hAnsi="宋体" w:eastAsia="宋体" w:cs="宋体"/>
                <w:color w:val="000000" w:themeColor="text1"/>
                <w:sz w:val="22"/>
                <w:szCs w:val="22"/>
                <w:highlight w:val="none"/>
                <w:vertAlign w:val="superscript"/>
                <w14:textFill>
                  <w14:solidFill>
                    <w14:schemeClr w14:val="tx1"/>
                  </w14:solidFill>
                </w14:textFill>
              </w:rPr>
              <w:t>3</w:t>
            </w:r>
            <w:r>
              <w:rPr>
                <w:rFonts w:hint="eastAsia" w:ascii="宋体" w:hAnsi="宋体" w:eastAsia="宋体" w:cs="宋体"/>
                <w:color w:val="000000" w:themeColor="text1"/>
                <w:sz w:val="22"/>
                <w:szCs w:val="22"/>
                <w:highlight w:val="none"/>
                <w14:textFill>
                  <w14:solidFill>
                    <w14:schemeClr w14:val="tx1"/>
                  </w14:solidFill>
                </w14:textFill>
              </w:rPr>
              <w:t>；分辨率：1mg/m</w:t>
            </w:r>
            <w:r>
              <w:rPr>
                <w:rFonts w:hint="eastAsia" w:ascii="宋体" w:hAnsi="宋体" w:eastAsia="宋体" w:cs="宋体"/>
                <w:color w:val="000000" w:themeColor="text1"/>
                <w:sz w:val="22"/>
                <w:szCs w:val="22"/>
                <w:highlight w:val="none"/>
                <w:vertAlign w:val="superscript"/>
                <w14:textFill>
                  <w14:solidFill>
                    <w14:schemeClr w14:val="tx1"/>
                  </w14:solidFill>
                </w14:textFill>
              </w:rPr>
              <w:t>3</w:t>
            </w:r>
          </w:p>
          <w:p w14:paraId="195F71E2">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2.5  NO（紫外差分法）：（0～13</w:t>
            </w:r>
            <w:r>
              <w:rPr>
                <w:rFonts w:hint="eastAsia" w:ascii="宋体" w:hAnsi="宋体" w:eastAsia="宋体" w:cs="宋体"/>
                <w:color w:val="000000" w:themeColor="text1"/>
                <w:sz w:val="22"/>
                <w:szCs w:val="22"/>
                <w:highlight w:val="none"/>
                <w:lang w:val="en-US" w:eastAsia="zh-CN"/>
                <w14:textFill>
                  <w14:solidFill>
                    <w14:schemeClr w14:val="tx1"/>
                  </w14:solidFill>
                </w14:textFill>
              </w:rPr>
              <w:t>0</w:t>
            </w:r>
            <w:r>
              <w:rPr>
                <w:rFonts w:hint="eastAsia" w:ascii="宋体" w:hAnsi="宋体" w:eastAsia="宋体" w:cs="宋体"/>
                <w:color w:val="000000" w:themeColor="text1"/>
                <w:sz w:val="22"/>
                <w:szCs w:val="22"/>
                <w:highlight w:val="none"/>
                <w14:textFill>
                  <w14:solidFill>
                    <w14:schemeClr w14:val="tx1"/>
                  </w14:solidFill>
                </w14:textFill>
              </w:rPr>
              <w:t>0）mg/m</w:t>
            </w:r>
            <w:r>
              <w:rPr>
                <w:rFonts w:hint="eastAsia" w:ascii="宋体" w:hAnsi="宋体" w:eastAsia="宋体" w:cs="宋体"/>
                <w:color w:val="000000" w:themeColor="text1"/>
                <w:sz w:val="22"/>
                <w:szCs w:val="22"/>
                <w:highlight w:val="none"/>
                <w:vertAlign w:val="superscript"/>
                <w14:textFill>
                  <w14:solidFill>
                    <w14:schemeClr w14:val="tx1"/>
                  </w14:solidFill>
                </w14:textFill>
              </w:rPr>
              <w:t>3</w:t>
            </w:r>
            <w:r>
              <w:rPr>
                <w:rFonts w:hint="eastAsia" w:ascii="宋体" w:hAnsi="宋体" w:eastAsia="宋体" w:cs="宋体"/>
                <w:color w:val="000000" w:themeColor="text1"/>
                <w:sz w:val="22"/>
                <w:szCs w:val="22"/>
                <w:highlight w:val="none"/>
                <w14:textFill>
                  <w14:solidFill>
                    <w14:schemeClr w14:val="tx1"/>
                  </w14:solidFill>
                </w14:textFill>
              </w:rPr>
              <w:t>；分辨率：1mg/m</w:t>
            </w:r>
            <w:r>
              <w:rPr>
                <w:rFonts w:hint="eastAsia" w:ascii="宋体" w:hAnsi="宋体" w:eastAsia="宋体" w:cs="宋体"/>
                <w:color w:val="000000" w:themeColor="text1"/>
                <w:sz w:val="22"/>
                <w:szCs w:val="22"/>
                <w:highlight w:val="none"/>
                <w:vertAlign w:val="superscript"/>
                <w14:textFill>
                  <w14:solidFill>
                    <w14:schemeClr w14:val="tx1"/>
                  </w14:solidFill>
                </w14:textFill>
              </w:rPr>
              <w:t>3</w:t>
            </w:r>
            <w:r>
              <w:rPr>
                <w:rFonts w:hint="eastAsia" w:ascii="宋体" w:hAnsi="宋体" w:eastAsia="宋体" w:cs="宋体"/>
                <w:color w:val="000000" w:themeColor="text1"/>
                <w:sz w:val="22"/>
                <w:szCs w:val="22"/>
                <w:highlight w:val="none"/>
                <w14:textFill>
                  <w14:solidFill>
                    <w14:schemeClr w14:val="tx1"/>
                  </w14:solidFill>
                </w14:textFill>
              </w:rPr>
              <w:t>；</w:t>
            </w:r>
          </w:p>
          <w:p w14:paraId="1F1E5157">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2.6  NO</w:t>
            </w:r>
            <w:r>
              <w:rPr>
                <w:rFonts w:hint="eastAsia" w:ascii="宋体" w:hAnsi="宋体" w:eastAsia="宋体" w:cs="宋体"/>
                <w:color w:val="000000" w:themeColor="text1"/>
                <w:sz w:val="22"/>
                <w:szCs w:val="22"/>
                <w:highlight w:val="none"/>
                <w:vertAlign w:val="subscript"/>
                <w14:textFill>
                  <w14:solidFill>
                    <w14:schemeClr w14:val="tx1"/>
                  </w14:solidFill>
                </w14:textFill>
              </w:rPr>
              <w:t>2</w:t>
            </w:r>
            <w:r>
              <w:rPr>
                <w:rFonts w:hint="eastAsia" w:ascii="宋体" w:hAnsi="宋体" w:eastAsia="宋体" w:cs="宋体"/>
                <w:color w:val="000000" w:themeColor="text1"/>
                <w:sz w:val="22"/>
                <w:szCs w:val="22"/>
                <w:highlight w:val="none"/>
                <w14:textFill>
                  <w14:solidFill>
                    <w14:schemeClr w14:val="tx1"/>
                  </w14:solidFill>
                </w14:textFill>
              </w:rPr>
              <w:t>（紫外差分法）：（0～1</w:t>
            </w:r>
            <w:r>
              <w:rPr>
                <w:rFonts w:hint="eastAsia" w:ascii="宋体" w:hAnsi="宋体" w:eastAsia="宋体" w:cs="宋体"/>
                <w:color w:val="000000" w:themeColor="text1"/>
                <w:sz w:val="22"/>
                <w:szCs w:val="22"/>
                <w:highlight w:val="none"/>
                <w:lang w:val="en-US" w:eastAsia="zh-CN"/>
                <w14:textFill>
                  <w14:solidFill>
                    <w14:schemeClr w14:val="tx1"/>
                  </w14:solidFill>
                </w14:textFill>
              </w:rPr>
              <w:t>000</w:t>
            </w:r>
            <w:r>
              <w:rPr>
                <w:rFonts w:hint="eastAsia" w:ascii="宋体" w:hAnsi="宋体" w:eastAsia="宋体" w:cs="宋体"/>
                <w:color w:val="000000" w:themeColor="text1"/>
                <w:sz w:val="22"/>
                <w:szCs w:val="22"/>
                <w:highlight w:val="none"/>
                <w14:textFill>
                  <w14:solidFill>
                    <w14:schemeClr w14:val="tx1"/>
                  </w14:solidFill>
                </w14:textFill>
              </w:rPr>
              <w:t>）mg/m</w:t>
            </w:r>
            <w:r>
              <w:rPr>
                <w:rFonts w:hint="eastAsia" w:ascii="宋体" w:hAnsi="宋体" w:eastAsia="宋体" w:cs="宋体"/>
                <w:color w:val="000000" w:themeColor="text1"/>
                <w:sz w:val="22"/>
                <w:szCs w:val="22"/>
                <w:highlight w:val="none"/>
                <w:vertAlign w:val="superscript"/>
                <w14:textFill>
                  <w14:solidFill>
                    <w14:schemeClr w14:val="tx1"/>
                  </w14:solidFill>
                </w14:textFill>
              </w:rPr>
              <w:t>3</w:t>
            </w:r>
            <w:r>
              <w:rPr>
                <w:rFonts w:hint="eastAsia" w:ascii="宋体" w:hAnsi="宋体" w:eastAsia="宋体" w:cs="宋体"/>
                <w:color w:val="000000" w:themeColor="text1"/>
                <w:sz w:val="22"/>
                <w:szCs w:val="22"/>
                <w:highlight w:val="none"/>
                <w14:textFill>
                  <w14:solidFill>
                    <w14:schemeClr w14:val="tx1"/>
                  </w14:solidFill>
                </w14:textFill>
              </w:rPr>
              <w:t>；分辨率：1mg/m</w:t>
            </w:r>
            <w:r>
              <w:rPr>
                <w:rFonts w:hint="eastAsia" w:ascii="宋体" w:hAnsi="宋体" w:eastAsia="宋体" w:cs="宋体"/>
                <w:color w:val="000000" w:themeColor="text1"/>
                <w:sz w:val="22"/>
                <w:szCs w:val="22"/>
                <w:highlight w:val="none"/>
                <w:vertAlign w:val="superscript"/>
                <w14:textFill>
                  <w14:solidFill>
                    <w14:schemeClr w14:val="tx1"/>
                  </w14:solidFill>
                </w14:textFill>
              </w:rPr>
              <w:t>3</w:t>
            </w:r>
            <w:r>
              <w:rPr>
                <w:rFonts w:hint="eastAsia" w:ascii="宋体" w:hAnsi="宋体" w:eastAsia="宋体" w:cs="宋体"/>
                <w:color w:val="000000" w:themeColor="text1"/>
                <w:sz w:val="22"/>
                <w:szCs w:val="22"/>
                <w:highlight w:val="none"/>
                <w14:textFill>
                  <w14:solidFill>
                    <w14:schemeClr w14:val="tx1"/>
                  </w14:solidFill>
                </w14:textFill>
              </w:rPr>
              <w:t>；</w:t>
            </w:r>
          </w:p>
          <w:p w14:paraId="07786E9B">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2.7 示值误差：不超过±5.0%；</w:t>
            </w:r>
          </w:p>
          <w:p w14:paraId="60D6320F">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 xml:space="preserve">■2.8 重复性≤2%； </w:t>
            </w:r>
          </w:p>
          <w:p w14:paraId="7121F7A8">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2.9 响应时间≤90s；</w:t>
            </w:r>
          </w:p>
          <w:p w14:paraId="012AB838">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■2.10 稳定性：1h内示数值变化优于5%；</w:t>
            </w:r>
          </w:p>
          <w:p w14:paraId="7300D97F">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3.配置：</w:t>
            </w:r>
          </w:p>
          <w:p w14:paraId="1F934354">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3.1.主机内置O</w:t>
            </w:r>
            <w:r>
              <w:rPr>
                <w:rFonts w:hint="eastAsia" w:ascii="宋体" w:hAnsi="宋体" w:eastAsia="宋体" w:cs="宋体"/>
                <w:color w:val="000000" w:themeColor="text1"/>
                <w:sz w:val="22"/>
                <w:szCs w:val="22"/>
                <w:highlight w:val="none"/>
                <w:vertAlign w:val="subscript"/>
                <w14:textFill>
                  <w14:solidFill>
                    <w14:schemeClr w14:val="tx1"/>
                  </w14:solidFill>
                </w14:textFill>
              </w:rPr>
              <w:t>2</w:t>
            </w:r>
            <w:r>
              <w:rPr>
                <w:rFonts w:hint="eastAsia" w:ascii="宋体" w:hAnsi="宋体" w:eastAsia="宋体" w:cs="宋体"/>
                <w:color w:val="000000" w:themeColor="text1"/>
                <w:sz w:val="22"/>
                <w:szCs w:val="22"/>
                <w:highlight w:val="none"/>
                <w14:textFill>
                  <w14:solidFill>
                    <w14:schemeClr w14:val="tx1"/>
                  </w14:solidFill>
                </w14:textFill>
              </w:rPr>
              <w:t xml:space="preserve"> CO 电化学模块； SO</w:t>
            </w:r>
            <w:r>
              <w:rPr>
                <w:rFonts w:hint="eastAsia" w:ascii="宋体" w:hAnsi="宋体" w:eastAsia="宋体" w:cs="宋体"/>
                <w:color w:val="000000" w:themeColor="text1"/>
                <w:sz w:val="22"/>
                <w:szCs w:val="22"/>
                <w:highlight w:val="none"/>
                <w:vertAlign w:val="subscript"/>
                <w14:textFill>
                  <w14:solidFill>
                    <w14:schemeClr w14:val="tx1"/>
                  </w14:solidFill>
                </w14:textFill>
              </w:rPr>
              <w:t>2</w:t>
            </w:r>
            <w:r>
              <w:rPr>
                <w:rFonts w:hint="eastAsia" w:ascii="宋体" w:hAnsi="宋体" w:eastAsia="宋体" w:cs="宋体"/>
                <w:color w:val="000000" w:themeColor="text1"/>
                <w:sz w:val="22"/>
                <w:szCs w:val="22"/>
                <w:highlight w:val="none"/>
                <w14:textFill>
                  <w14:solidFill>
                    <w14:schemeClr w14:val="tx1"/>
                  </w14:solidFill>
                </w14:textFill>
              </w:rPr>
              <w:t xml:space="preserve"> NO NO</w:t>
            </w:r>
            <w:r>
              <w:rPr>
                <w:rFonts w:hint="eastAsia" w:ascii="宋体" w:hAnsi="宋体" w:eastAsia="宋体" w:cs="宋体"/>
                <w:color w:val="000000" w:themeColor="text1"/>
                <w:sz w:val="22"/>
                <w:szCs w:val="22"/>
                <w:highlight w:val="none"/>
                <w:vertAlign w:val="subscript"/>
                <w14:textFill>
                  <w14:solidFill>
                    <w14:schemeClr w14:val="tx1"/>
                  </w14:solidFill>
                </w14:textFill>
              </w:rPr>
              <w:t>2</w:t>
            </w:r>
            <w:r>
              <w:rPr>
                <w:rFonts w:hint="eastAsia" w:ascii="宋体" w:hAnsi="宋体" w:eastAsia="宋体" w:cs="宋体"/>
                <w:color w:val="000000" w:themeColor="text1"/>
                <w:sz w:val="22"/>
                <w:szCs w:val="22"/>
                <w:highlight w:val="none"/>
                <w14:textFill>
                  <w14:solidFill>
                    <w14:schemeClr w14:val="tx1"/>
                  </w14:solidFill>
                </w14:textFill>
              </w:rPr>
              <w:t>紫外模块 ；</w:t>
            </w:r>
          </w:p>
          <w:p w14:paraId="76853062">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3.2.电源适配器1个；</w:t>
            </w:r>
          </w:p>
          <w:p w14:paraId="579EC61E">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3.3.高效气水分离器1个</w:t>
            </w:r>
          </w:p>
          <w:p w14:paraId="5B7EEC07">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 xml:space="preserve">3.4.便携式蓝牙打印机1个 </w:t>
            </w:r>
          </w:p>
          <w:p w14:paraId="1573C21A">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3.5.烟气预处理器1个</w:t>
            </w:r>
          </w:p>
          <w:p w14:paraId="1D26EDED">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3.6.烟气含湿量检测器1个</w:t>
            </w:r>
          </w:p>
          <w:p w14:paraId="144FF27E">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3.7.烟尘多功能取样管1个</w:t>
            </w:r>
          </w:p>
          <w:p w14:paraId="349F9A6A">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3.8.工况无线传输模块1个</w:t>
            </w:r>
          </w:p>
          <w:p w14:paraId="7A55B23D">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3.9.国家法定计量部门出具的检定校准证书1份。</w:t>
            </w:r>
          </w:p>
        </w:tc>
      </w:tr>
      <w:tr w14:paraId="28F3192B">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0026753B">
            <w:pPr>
              <w:widowControl/>
              <w:snapToGrid w:val="0"/>
              <w:jc w:val="center"/>
              <w:textAlignment w:val="center"/>
              <w:rPr>
                <w:rFonts w:hint="eastAsia" w:ascii="宋体" w:hAnsi="宋体" w:eastAsia="宋体" w:cs="宋体"/>
                <w:color w:val="000000" w:themeColor="text1"/>
                <w:kern w:val="0"/>
                <w:sz w:val="22"/>
                <w:szCs w:val="24"/>
                <w:highlight w:val="none"/>
                <w:lang w:bidi="ar"/>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2</w:t>
            </w:r>
          </w:p>
        </w:tc>
        <w:tc>
          <w:tcPr>
            <w:tcW w:w="3051" w:type="dxa"/>
            <w:tcBorders>
              <w:top w:val="single" w:color="000000" w:sz="8" w:space="0"/>
              <w:left w:val="single" w:color="000000" w:sz="8" w:space="0"/>
              <w:bottom w:val="single" w:color="000000" w:sz="8" w:space="0"/>
              <w:right w:val="single" w:color="000000" w:sz="8" w:space="0"/>
            </w:tcBorders>
            <w:vAlign w:val="center"/>
          </w:tcPr>
          <w:p w14:paraId="4F07CD9B">
            <w:pPr>
              <w:widowControl/>
              <w:snapToGrid w:val="0"/>
              <w:jc w:val="left"/>
              <w:textAlignment w:val="center"/>
              <w:rPr>
                <w:rFonts w:hint="eastAsia" w:ascii="宋体" w:hAnsi="宋体" w:eastAsia="宋体" w:cs="宋体"/>
                <w:color w:val="000000" w:themeColor="text1"/>
                <w:kern w:val="0"/>
                <w:sz w:val="22"/>
                <w:szCs w:val="24"/>
                <w:highlight w:val="none"/>
                <w:lang w:bidi="ar"/>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大流量低浓度烟尘气测试仪（定电位电解法）</w:t>
            </w:r>
          </w:p>
        </w:tc>
        <w:tc>
          <w:tcPr>
            <w:tcW w:w="10247" w:type="dxa"/>
            <w:tcBorders>
              <w:top w:val="single" w:color="000000" w:sz="8" w:space="0"/>
              <w:left w:val="single" w:color="000000" w:sz="8" w:space="0"/>
              <w:bottom w:val="single" w:color="000000" w:sz="8" w:space="0"/>
              <w:right w:val="single" w:color="000000" w:sz="8" w:space="0"/>
            </w:tcBorders>
            <w:vAlign w:val="center"/>
          </w:tcPr>
          <w:p w14:paraId="68BA37AF">
            <w:pP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执行标准：</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GB/T 16157-1996   固定污染源排气中颗粒物测定与气态污染物采样方法</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sz w:val="22"/>
                <w:szCs w:val="22"/>
                <w:highlight w:val="none"/>
                <w14:textFill>
                  <w14:solidFill>
                    <w14:schemeClr w14:val="tx1"/>
                  </w14:solidFill>
                </w14:textFill>
              </w:rPr>
              <w:t>HJ 836-2017  固定污染源废气 低浓度颗粒物的测定 重量法</w:t>
            </w:r>
          </w:p>
          <w:p w14:paraId="791D1B97">
            <w:pP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HJ 57-2017  固定污染源废气 二氧化硫的测定 定电位电解法</w:t>
            </w:r>
          </w:p>
          <w:p w14:paraId="02365502">
            <w:pP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HJ 693-2014  固定污染源废气 氮氧化物的测定 定电位电解法</w:t>
            </w:r>
          </w:p>
          <w:p w14:paraId="22014507">
            <w:pP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HJ 973-2018  固定污染源废气 一氧化碳的测定 定电位电解法</w:t>
            </w:r>
          </w:p>
          <w:p w14:paraId="6FAB9E6C">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主要要求： </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sz w:val="22"/>
                <w:szCs w:val="22"/>
                <w:highlight w:val="none"/>
                <w14:textFill>
                  <w14:solidFill>
                    <w14:schemeClr w14:val="tx1"/>
                  </w14:solidFill>
                </w14:textFill>
              </w:rPr>
              <w:t xml:space="preserve">一、仪器主要性能： </w:t>
            </w:r>
          </w:p>
          <w:p w14:paraId="19AC29C0">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1.可完成固定污染源废气中浓度低于20mg/m</w:t>
            </w:r>
            <w:r>
              <w:rPr>
                <w:rFonts w:hint="eastAsia" w:ascii="宋体" w:hAnsi="宋体" w:eastAsia="宋体" w:cs="宋体"/>
                <w:color w:val="000000" w:themeColor="text1"/>
                <w:sz w:val="22"/>
                <w:szCs w:val="22"/>
                <w:highlight w:val="none"/>
                <w:vertAlign w:val="superscript"/>
                <w14:textFill>
                  <w14:solidFill>
                    <w14:schemeClr w14:val="tx1"/>
                  </w14:solidFill>
                </w14:textFill>
              </w:rPr>
              <w:t>3</w:t>
            </w:r>
            <w:r>
              <w:rPr>
                <w:rFonts w:hint="eastAsia" w:ascii="宋体" w:hAnsi="宋体" w:eastAsia="宋体" w:cs="宋体"/>
                <w:color w:val="000000" w:themeColor="text1"/>
                <w:sz w:val="22"/>
                <w:szCs w:val="22"/>
                <w:highlight w:val="none"/>
                <w14:textFill>
                  <w14:solidFill>
                    <w14:schemeClr w14:val="tx1"/>
                  </w14:solidFill>
                </w14:textFill>
              </w:rPr>
              <w:t>的颗粒物测定。</w:t>
            </w:r>
          </w:p>
          <w:p w14:paraId="2C87370F">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2.微电脑控制等速跟踪采样，精确电子流量计控制，实时监测计温、计压，自动调节流量；</w:t>
            </w:r>
          </w:p>
          <w:p w14:paraId="01AC8C30">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3.仪器内置弹性气容、精密压力传感器搭配稳定的流量控制，可实现流量超低流速的稳定控制与跟踪；</w:t>
            </w:r>
          </w:p>
          <w:p w14:paraId="3A2FEC40">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4.具有防倒吸功能，可防止采样结束后采集的烟尘被倒吸，保证采样数据的准确性；</w:t>
            </w:r>
          </w:p>
          <w:p w14:paraId="018E002E">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5.实时记录设备工作状态数据，具有采样过程停电记忆功能；</w:t>
            </w:r>
          </w:p>
          <w:p w14:paraId="4952724C">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6.兼容干湿球法和阻容法两种测量模式；</w:t>
            </w:r>
          </w:p>
          <w:p w14:paraId="30EC85FD">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7</w:t>
            </w:r>
            <w:r>
              <w:rPr>
                <w:rFonts w:hint="eastAsia" w:ascii="宋体" w:hAnsi="宋体" w:eastAsia="宋体" w:cs="宋体"/>
                <w:color w:val="000000" w:themeColor="text1"/>
                <w:sz w:val="22"/>
                <w:szCs w:val="22"/>
                <w:highlight w:val="none"/>
                <w14:textFill>
                  <w14:solidFill>
                    <w14:schemeClr w14:val="tx1"/>
                  </w14:solidFill>
                </w14:textFill>
              </w:rPr>
              <w:t>.</w:t>
            </w:r>
            <w:r>
              <w:rPr>
                <w:rFonts w:hint="eastAsia" w:ascii="宋体" w:hAnsi="宋体" w:eastAsia="宋体" w:cs="宋体"/>
                <w:color w:val="000000" w:themeColor="text1"/>
                <w:spacing w:val="0"/>
                <w:position w:val="0"/>
                <w:sz w:val="21"/>
                <w:szCs w:val="21"/>
                <w:highlight w:val="none"/>
                <w14:textFill>
                  <w14:solidFill>
                    <w14:schemeClr w14:val="tx1"/>
                  </w14:solidFill>
                </w14:textFill>
              </w:rPr>
              <w:t>具有烟尘测量、烟气分析或烟气采样两种</w:t>
            </w:r>
            <w:r>
              <w:rPr>
                <w:rFonts w:hint="eastAsia" w:ascii="宋体" w:hAnsi="宋体" w:eastAsia="宋体" w:cs="宋体"/>
                <w:color w:val="000000" w:themeColor="text1"/>
                <w:spacing w:val="0"/>
                <w:position w:val="0"/>
                <w:sz w:val="21"/>
                <w:szCs w:val="21"/>
                <w:highlight w:val="none"/>
                <w:lang w:val="en-US" w:eastAsia="zh-CN"/>
                <w14:textFill>
                  <w14:solidFill>
                    <w14:schemeClr w14:val="tx1"/>
                  </w14:solidFill>
                </w14:textFill>
              </w:rPr>
              <w:t>或三种</w:t>
            </w:r>
            <w:r>
              <w:rPr>
                <w:rFonts w:hint="eastAsia" w:ascii="宋体" w:hAnsi="宋体" w:eastAsia="宋体" w:cs="宋体"/>
                <w:color w:val="000000" w:themeColor="text1"/>
                <w:spacing w:val="0"/>
                <w:position w:val="0"/>
                <w:sz w:val="21"/>
                <w:szCs w:val="21"/>
                <w:highlight w:val="none"/>
                <w14:textFill>
                  <w14:solidFill>
                    <w14:schemeClr w14:val="tx1"/>
                  </w14:solidFill>
                </w14:textFill>
              </w:rPr>
              <w:t>同步运行功能；</w:t>
            </w:r>
          </w:p>
          <w:p w14:paraId="47DB3535">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8</w:t>
            </w:r>
            <w:r>
              <w:rPr>
                <w:rFonts w:hint="eastAsia" w:ascii="宋体" w:hAnsi="宋体" w:eastAsia="宋体" w:cs="宋体"/>
                <w:color w:val="000000" w:themeColor="text1"/>
                <w:sz w:val="22"/>
                <w:szCs w:val="22"/>
                <w:highlight w:val="none"/>
                <w14:textFill>
                  <w14:solidFill>
                    <w14:schemeClr w14:val="tx1"/>
                  </w14:solidFill>
                </w14:textFill>
              </w:rPr>
              <w:t>.高效采样泵，耐腐蚀，流量可达120L/min，连续运转免维护，适应各种工况，具有过载保护功能；</w:t>
            </w:r>
          </w:p>
          <w:p w14:paraId="7FD185E0">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9</w:t>
            </w:r>
            <w:r>
              <w:rPr>
                <w:rFonts w:hint="eastAsia" w:ascii="宋体" w:hAnsi="宋体" w:eastAsia="宋体" w:cs="宋体"/>
                <w:color w:val="000000" w:themeColor="text1"/>
                <w:sz w:val="22"/>
                <w:szCs w:val="22"/>
                <w:highlight w:val="none"/>
                <w14:textFill>
                  <w14:solidFill>
                    <w14:schemeClr w14:val="tx1"/>
                  </w14:solidFill>
                </w14:textFill>
              </w:rPr>
              <w:t>.工况测量支持有线或无线双通信模式；</w:t>
            </w:r>
          </w:p>
          <w:p w14:paraId="0A42CF79">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0</w:t>
            </w:r>
            <w:r>
              <w:rPr>
                <w:rFonts w:hint="eastAsia" w:ascii="宋体" w:hAnsi="宋体" w:eastAsia="宋体" w:cs="宋体"/>
                <w:color w:val="000000" w:themeColor="text1"/>
                <w:sz w:val="22"/>
                <w:szCs w:val="22"/>
                <w:highlight w:val="none"/>
                <w14:textFill>
                  <w14:solidFill>
                    <w14:schemeClr w14:val="tx1"/>
                  </w14:solidFill>
                </w14:textFill>
              </w:rPr>
              <w:t>.具备气密性自动检测功能，可自动诊断气路的气密性；</w:t>
            </w:r>
          </w:p>
          <w:p w14:paraId="11C61CD9">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14:textFill>
                  <w14:solidFill>
                    <w14:schemeClr w14:val="tx1"/>
                  </w14:solidFill>
                </w14:textFill>
              </w:rPr>
              <w:t>.高效气水分离器设计；</w:t>
            </w:r>
          </w:p>
          <w:p w14:paraId="2560AA7F">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14:textFill>
                  <w14:solidFill>
                    <w14:schemeClr w14:val="tx1"/>
                  </w14:solidFill>
                </w14:textFill>
              </w:rPr>
              <w:t>.烟尘采样</w:t>
            </w:r>
            <w:r>
              <w:rPr>
                <w:rFonts w:hint="eastAsia" w:ascii="宋体" w:hAnsi="宋体" w:eastAsia="宋体" w:cs="宋体"/>
                <w:color w:val="000000" w:themeColor="text1"/>
                <w:sz w:val="22"/>
                <w:szCs w:val="22"/>
                <w:highlight w:val="none"/>
                <w:lang w:eastAsia="zh-CN"/>
                <w14:textFill>
                  <w14:solidFill>
                    <w14:schemeClr w14:val="tx1"/>
                  </w14:solidFill>
                </w14:textFill>
              </w:rPr>
              <w:t>或</w:t>
            </w:r>
            <w:r>
              <w:rPr>
                <w:rFonts w:hint="eastAsia" w:ascii="宋体" w:hAnsi="宋体" w:eastAsia="宋体" w:cs="宋体"/>
                <w:color w:val="000000" w:themeColor="text1"/>
                <w:sz w:val="22"/>
                <w:szCs w:val="22"/>
                <w:highlight w:val="none"/>
                <w14:textFill>
                  <w14:solidFill>
                    <w14:schemeClr w14:val="tx1"/>
                  </w14:solidFill>
                </w14:textFill>
              </w:rPr>
              <w:t>烟气分析气路具有独立排水功能，可自动排出冷凝水；</w:t>
            </w:r>
          </w:p>
          <w:p w14:paraId="72EC0F84">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3</w:t>
            </w:r>
            <w:r>
              <w:rPr>
                <w:rFonts w:hint="eastAsia" w:ascii="宋体" w:hAnsi="宋体" w:eastAsia="宋体" w:cs="宋体"/>
                <w:color w:val="000000" w:themeColor="text1"/>
                <w:sz w:val="22"/>
                <w:szCs w:val="22"/>
                <w:highlight w:val="none"/>
                <w14:textFill>
                  <w14:solidFill>
                    <w14:schemeClr w14:val="tx1"/>
                  </w14:solidFill>
                </w14:textFill>
              </w:rPr>
              <w:t xml:space="preserve">.烟气分析模块具有加热保温和温度补偿修正功能； </w:t>
            </w:r>
          </w:p>
          <w:p w14:paraId="3E90D3AC">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4</w:t>
            </w:r>
            <w:r>
              <w:rPr>
                <w:rFonts w:hint="eastAsia" w:ascii="宋体" w:hAnsi="宋体" w:eastAsia="宋体" w:cs="宋体"/>
                <w:color w:val="000000" w:themeColor="text1"/>
                <w:sz w:val="22"/>
                <w:szCs w:val="22"/>
                <w:highlight w:val="none"/>
                <w14:textFill>
                  <w14:solidFill>
                    <w14:schemeClr w14:val="tx1"/>
                  </w14:solidFill>
                </w14:textFill>
              </w:rPr>
              <w:t>.支持外部交、直流两种供电方式，可更换内置锂电池组；</w:t>
            </w:r>
          </w:p>
          <w:p w14:paraId="4B237E6D">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5</w:t>
            </w:r>
            <w:r>
              <w:rPr>
                <w:rFonts w:hint="eastAsia" w:ascii="宋体" w:hAnsi="宋体" w:eastAsia="宋体" w:cs="宋体"/>
                <w:color w:val="000000" w:themeColor="text1"/>
                <w:sz w:val="22"/>
                <w:szCs w:val="22"/>
                <w:highlight w:val="none"/>
                <w14:textFill>
                  <w14:solidFill>
                    <w14:schemeClr w14:val="tx1"/>
                  </w14:solidFill>
                </w14:textFill>
              </w:rPr>
              <w:t>.具有烟尘测量、烟气分析、烟气采样功能切换物理快捷键；</w:t>
            </w:r>
          </w:p>
          <w:p w14:paraId="5274A5CA">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6</w:t>
            </w:r>
            <w:r>
              <w:rPr>
                <w:rFonts w:hint="eastAsia" w:ascii="宋体" w:hAnsi="宋体" w:eastAsia="宋体" w:cs="宋体"/>
                <w:color w:val="000000" w:themeColor="text1"/>
                <w:sz w:val="22"/>
                <w:szCs w:val="22"/>
                <w:highlight w:val="none"/>
                <w14:textFill>
                  <w14:solidFill>
                    <w14:schemeClr w14:val="tx1"/>
                  </w14:solidFill>
                </w14:textFill>
              </w:rPr>
              <w:t>.具备RS232、USB等接口，支持数据通信，U盘数据转存输出，预留物联网模块接口，可拓展联网功能；</w:t>
            </w:r>
          </w:p>
          <w:p w14:paraId="3E2292B5">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7</w:t>
            </w:r>
            <w:r>
              <w:rPr>
                <w:rFonts w:hint="eastAsia" w:ascii="宋体" w:hAnsi="宋体" w:eastAsia="宋体" w:cs="宋体"/>
                <w:color w:val="000000" w:themeColor="text1"/>
                <w:sz w:val="22"/>
                <w:szCs w:val="22"/>
                <w:highlight w:val="none"/>
                <w14:textFill>
                  <w14:solidFill>
                    <w14:schemeClr w14:val="tx1"/>
                  </w14:solidFill>
                </w14:textFill>
              </w:rPr>
              <w:t>.具备故障自检功能，可对仪器功能进行检测并提示故障；</w:t>
            </w:r>
          </w:p>
          <w:p w14:paraId="6FFDB786">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8</w:t>
            </w:r>
            <w:r>
              <w:rPr>
                <w:rFonts w:hint="eastAsia" w:ascii="宋体" w:hAnsi="宋体" w:eastAsia="宋体" w:cs="宋体"/>
                <w:color w:val="000000" w:themeColor="text1"/>
                <w:sz w:val="22"/>
                <w:szCs w:val="22"/>
                <w:highlight w:val="none"/>
                <w14:textFill>
                  <w14:solidFill>
                    <w14:schemeClr w14:val="tx1"/>
                  </w14:solidFill>
                </w14:textFill>
              </w:rPr>
              <w:t>.蓝牙热敏打印机，有线或无线打印模式；</w:t>
            </w:r>
          </w:p>
          <w:p w14:paraId="3E08D5BE">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19</w:t>
            </w:r>
            <w:r>
              <w:rPr>
                <w:rFonts w:hint="eastAsia" w:ascii="宋体" w:hAnsi="宋体" w:eastAsia="宋体" w:cs="宋体"/>
                <w:color w:val="000000" w:themeColor="text1"/>
                <w:sz w:val="22"/>
                <w:szCs w:val="22"/>
                <w:highlight w:val="none"/>
                <w14:textFill>
                  <w14:solidFill>
                    <w14:schemeClr w14:val="tx1"/>
                  </w14:solidFill>
                </w14:textFill>
              </w:rPr>
              <w:t>.仪器内置电子标签，可与仪器出入库管理平台软件配合实现仪器智能化管理；</w:t>
            </w:r>
          </w:p>
          <w:p w14:paraId="327D40C5">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2</w:t>
            </w:r>
            <w:r>
              <w:rPr>
                <w:rFonts w:hint="eastAsia" w:ascii="宋体" w:hAnsi="宋体" w:eastAsia="宋体" w:cs="宋体"/>
                <w:color w:val="000000" w:themeColor="text1"/>
                <w:sz w:val="22"/>
                <w:szCs w:val="22"/>
                <w:highlight w:val="none"/>
                <w:lang w:val="en-US" w:eastAsia="zh-CN"/>
                <w14:textFill>
                  <w14:solidFill>
                    <w14:schemeClr w14:val="tx1"/>
                  </w14:solidFill>
                </w14:textFill>
              </w:rPr>
              <w:t>0</w:t>
            </w:r>
            <w:r>
              <w:rPr>
                <w:rFonts w:hint="eastAsia" w:ascii="宋体" w:hAnsi="宋体" w:eastAsia="宋体" w:cs="宋体"/>
                <w:color w:val="000000" w:themeColor="text1"/>
                <w:sz w:val="22"/>
                <w:szCs w:val="22"/>
                <w:highlight w:val="none"/>
                <w14:textFill>
                  <w14:solidFill>
                    <w14:schemeClr w14:val="tx1"/>
                  </w14:solidFill>
                </w14:textFill>
              </w:rPr>
              <w:t>.内置自动定位、授时功能、防篡改功能；</w:t>
            </w:r>
          </w:p>
          <w:p w14:paraId="26C0E3FA">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w:t>
            </w:r>
            <w:r>
              <w:rPr>
                <w:rFonts w:hint="eastAsia" w:ascii="宋体" w:hAnsi="宋体" w:eastAsia="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14:textFill>
                  <w14:solidFill>
                    <w14:schemeClr w14:val="tx1"/>
                  </w14:solidFill>
                </w14:textFill>
              </w:rPr>
              <w:t xml:space="preserve">.具有手机APP无线控制及工作状态显示功能，且手机APP具有文件获取和转存功能； </w:t>
            </w:r>
          </w:p>
          <w:p w14:paraId="444184AE">
            <w:pPr>
              <w:jc w:val="left"/>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二、主要技术指标：</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1.烟尘采样技术指标要求</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sz w:val="22"/>
                <w:szCs w:val="22"/>
                <w:highlight w:val="none"/>
                <w14:textFill>
                  <w14:solidFill>
                    <w14:schemeClr w14:val="tx1"/>
                  </w14:solidFill>
                </w14:textFill>
              </w:rPr>
              <w:t>■</w:t>
            </w:r>
            <w:r>
              <w:rPr>
                <w:rFonts w:hint="eastAsia" w:ascii="宋体" w:hAnsi="宋体" w:eastAsia="宋体" w:cs="宋体"/>
                <w:color w:val="000000" w:themeColor="text1"/>
                <w:kern w:val="0"/>
                <w:sz w:val="22"/>
                <w:szCs w:val="22"/>
                <w:highlight w:val="none"/>
                <w:lang w:bidi="ar"/>
                <w14:textFill>
                  <w14:solidFill>
                    <w14:schemeClr w14:val="tx1"/>
                  </w14:solidFill>
                </w14:textFill>
              </w:rPr>
              <w:t>1.1 采样流量：（0～120）L/min；分辨率：0.1L/min；准确度：不超过±2.5%；</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1.2 烟气动压：（0～2000）Pa；分辨率：1Pa；准确度：不超过±1%FS；</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1.3 烟气静压：（-30～30）kPa；分辨率：0.01kPa；准确度：不超过±1%FS；</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1.4 流量计前压力：（-60～0）kPa；分辨率：0.01kPa；准确度：不超过±1%FS；</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1.5 流量计前温度：（-55～125）℃；分辨率：0.1℃；准确度：不超过±2.5℃；</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1.6 烟气温度：（0～500）℃；分辨率：0.1℃；准确度：不超过±3.0℃；</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1.7 等速吸引流速：（5～45）m/s；分辨率：0.1m/s；准确度：±5.0%；</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1.8大气压：（50～130）kPa；分辨率：0.01kPa；准确度：不超过±0.5kPa ；</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1.9 含湿量：（0～40）%；分辨率：0.01%；准确度：（0～5）% 绝对误差≤±0.75%；</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1.10 最大采样体积：999999.9L；分辨率：0.1L；准确度：不超过±2.5%；</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1.11 等速跟踪响应时间：≤20s；</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sz w:val="22"/>
                <w:szCs w:val="22"/>
                <w:highlight w:val="none"/>
                <w14:textFill>
                  <w14:solidFill>
                    <w14:schemeClr w14:val="tx1"/>
                  </w14:solidFill>
                </w14:textFill>
              </w:rPr>
              <w:t>■</w:t>
            </w:r>
            <w:r>
              <w:rPr>
                <w:rFonts w:hint="eastAsia" w:ascii="宋体" w:hAnsi="宋体" w:eastAsia="宋体" w:cs="宋体"/>
                <w:color w:val="000000" w:themeColor="text1"/>
                <w:kern w:val="0"/>
                <w:sz w:val="22"/>
                <w:szCs w:val="22"/>
                <w:highlight w:val="none"/>
                <w:lang w:bidi="ar"/>
                <w14:textFill>
                  <w14:solidFill>
                    <w14:schemeClr w14:val="tx1"/>
                  </w14:solidFill>
                </w14:textFill>
              </w:rPr>
              <w:t>1.12 采样泵负载能力：≥60L/min(阻力为20kPa时)；</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2.烟气技术指标要求</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2.1 采样流量：0.5L/min，分辨率0.1L/min；</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2.2  O</w:t>
            </w:r>
            <w:r>
              <w:rPr>
                <w:rFonts w:hint="eastAsia" w:ascii="宋体" w:hAnsi="宋体" w:eastAsia="宋体" w:cs="宋体"/>
                <w:color w:val="000000" w:themeColor="text1"/>
                <w:kern w:val="0"/>
                <w:sz w:val="22"/>
                <w:szCs w:val="22"/>
                <w:highlight w:val="none"/>
                <w:vertAlign w:val="subscript"/>
                <w:lang w:bidi="ar"/>
                <w14:textFill>
                  <w14:solidFill>
                    <w14:schemeClr w14:val="tx1"/>
                  </w14:solidFill>
                </w14:textFill>
              </w:rPr>
              <w:t>2</w:t>
            </w:r>
            <w:r>
              <w:rPr>
                <w:rFonts w:hint="eastAsia" w:ascii="宋体" w:hAnsi="宋体" w:eastAsia="宋体" w:cs="宋体"/>
                <w:color w:val="000000" w:themeColor="text1"/>
                <w:kern w:val="0"/>
                <w:sz w:val="22"/>
                <w:szCs w:val="22"/>
                <w:highlight w:val="none"/>
                <w:lang w:bidi="ar"/>
                <w14:textFill>
                  <w14:solidFill>
                    <w14:schemeClr w14:val="tx1"/>
                  </w14:solidFill>
                </w14:textFill>
              </w:rPr>
              <w:t>（电化学方法）：（0～30）% ；分辨率：0.1%；</w:t>
            </w:r>
          </w:p>
          <w:p w14:paraId="4FB7EF8C">
            <w:pPr>
              <w:jc w:val="left"/>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2.3  </w:t>
            </w:r>
            <w:r>
              <w:rPr>
                <w:rFonts w:hint="eastAsia" w:ascii="宋体" w:hAnsi="宋体" w:eastAsia="宋体" w:cs="宋体"/>
                <w:color w:val="000000" w:themeColor="text1"/>
                <w:sz w:val="22"/>
                <w:szCs w:val="22"/>
                <w:highlight w:val="none"/>
                <w14:textFill>
                  <w14:solidFill>
                    <w14:schemeClr w14:val="tx1"/>
                  </w14:solidFill>
                </w14:textFill>
              </w:rPr>
              <w:t xml:space="preserve"> SO</w:t>
            </w:r>
            <w:r>
              <w:rPr>
                <w:rFonts w:hint="eastAsia" w:ascii="宋体" w:hAnsi="宋体" w:eastAsia="宋体" w:cs="宋体"/>
                <w:color w:val="000000" w:themeColor="text1"/>
                <w:sz w:val="22"/>
                <w:szCs w:val="22"/>
                <w:highlight w:val="none"/>
                <w:vertAlign w:val="subscript"/>
                <w14:textFill>
                  <w14:solidFill>
                    <w14:schemeClr w14:val="tx1"/>
                  </w14:solidFill>
                </w14:textFill>
              </w:rPr>
              <w:t>2</w:t>
            </w:r>
            <w:r>
              <w:rPr>
                <w:rFonts w:hint="eastAsia" w:ascii="宋体" w:hAnsi="宋体" w:eastAsia="宋体" w:cs="宋体"/>
                <w:color w:val="000000" w:themeColor="text1"/>
                <w:sz w:val="22"/>
                <w:szCs w:val="22"/>
                <w:highlight w:val="none"/>
                <w14:textFill>
                  <w14:solidFill>
                    <w14:schemeClr w14:val="tx1"/>
                  </w14:solidFill>
                </w14:textFill>
              </w:rPr>
              <w:t>（电化学方法）：（0~5700）mg/m</w:t>
            </w:r>
            <w:r>
              <w:rPr>
                <w:rFonts w:hint="eastAsia" w:ascii="宋体" w:hAnsi="宋体" w:eastAsia="宋体" w:cs="宋体"/>
                <w:color w:val="000000" w:themeColor="text1"/>
                <w:sz w:val="22"/>
                <w:szCs w:val="22"/>
                <w:highlight w:val="none"/>
                <w:vertAlign w:val="superscript"/>
                <w14:textFill>
                  <w14:solidFill>
                    <w14:schemeClr w14:val="tx1"/>
                  </w14:solidFill>
                </w14:textFill>
              </w:rPr>
              <w:t>3</w:t>
            </w:r>
            <w:r>
              <w:rPr>
                <w:rFonts w:hint="eastAsia" w:ascii="宋体" w:hAnsi="宋体" w:eastAsia="宋体" w:cs="宋体"/>
                <w:color w:val="000000" w:themeColor="text1"/>
                <w:sz w:val="22"/>
                <w:szCs w:val="22"/>
                <w:highlight w:val="none"/>
                <w14:textFill>
                  <w14:solidFill>
                    <w14:schemeClr w14:val="tx1"/>
                  </w14:solidFill>
                </w14:textFill>
              </w:rPr>
              <w:t>；分辨率：1mg/m</w:t>
            </w:r>
            <w:r>
              <w:rPr>
                <w:rFonts w:hint="eastAsia" w:ascii="宋体" w:hAnsi="宋体" w:eastAsia="宋体" w:cs="宋体"/>
                <w:color w:val="000000" w:themeColor="text1"/>
                <w:sz w:val="22"/>
                <w:szCs w:val="22"/>
                <w:highlight w:val="none"/>
                <w:vertAlign w:val="superscript"/>
                <w14:textFill>
                  <w14:solidFill>
                    <w14:schemeClr w14:val="tx1"/>
                  </w14:solidFill>
                </w14:textFill>
              </w:rPr>
              <w:t>3</w:t>
            </w:r>
            <w:r>
              <w:rPr>
                <w:rFonts w:hint="eastAsia" w:ascii="宋体" w:hAnsi="宋体" w:eastAsia="宋体" w:cs="宋体"/>
                <w:color w:val="000000" w:themeColor="text1"/>
                <w:sz w:val="22"/>
                <w:szCs w:val="22"/>
                <w:highlight w:val="none"/>
                <w14:textFill>
                  <w14:solidFill>
                    <w14:schemeClr w14:val="tx1"/>
                  </w14:solidFill>
                </w14:textFill>
              </w:rPr>
              <w:t>；</w:t>
            </w:r>
          </w:p>
          <w:p w14:paraId="24EADCB7">
            <w:pPr>
              <w:jc w:val="left"/>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2.4   NO（电化学方法）：（0~1300）mg/m</w:t>
            </w:r>
            <w:r>
              <w:rPr>
                <w:rFonts w:hint="eastAsia" w:ascii="宋体" w:hAnsi="宋体" w:eastAsia="宋体" w:cs="宋体"/>
                <w:color w:val="000000" w:themeColor="text1"/>
                <w:sz w:val="22"/>
                <w:szCs w:val="22"/>
                <w:highlight w:val="none"/>
                <w:vertAlign w:val="superscript"/>
                <w14:textFill>
                  <w14:solidFill>
                    <w14:schemeClr w14:val="tx1"/>
                  </w14:solidFill>
                </w14:textFill>
              </w:rPr>
              <w:t>3</w:t>
            </w:r>
            <w:r>
              <w:rPr>
                <w:rFonts w:hint="eastAsia" w:ascii="宋体" w:hAnsi="宋体" w:eastAsia="宋体" w:cs="宋体"/>
                <w:color w:val="000000" w:themeColor="text1"/>
                <w:sz w:val="22"/>
                <w:szCs w:val="22"/>
                <w:highlight w:val="none"/>
                <w14:textFill>
                  <w14:solidFill>
                    <w14:schemeClr w14:val="tx1"/>
                  </w14:solidFill>
                </w14:textFill>
              </w:rPr>
              <w:t>；分辨率：1mg/m</w:t>
            </w:r>
            <w:r>
              <w:rPr>
                <w:rFonts w:hint="eastAsia" w:ascii="宋体" w:hAnsi="宋体" w:eastAsia="宋体" w:cs="宋体"/>
                <w:color w:val="000000" w:themeColor="text1"/>
                <w:sz w:val="22"/>
                <w:szCs w:val="22"/>
                <w:highlight w:val="none"/>
                <w:vertAlign w:val="superscript"/>
                <w14:textFill>
                  <w14:solidFill>
                    <w14:schemeClr w14:val="tx1"/>
                  </w14:solidFill>
                </w14:textFill>
              </w:rPr>
              <w:t>3</w:t>
            </w:r>
            <w:r>
              <w:rPr>
                <w:rFonts w:hint="eastAsia" w:ascii="宋体" w:hAnsi="宋体" w:eastAsia="宋体" w:cs="宋体"/>
                <w:color w:val="000000" w:themeColor="text1"/>
                <w:sz w:val="22"/>
                <w:szCs w:val="22"/>
                <w:highlight w:val="none"/>
                <w14:textFill>
                  <w14:solidFill>
                    <w14:schemeClr w14:val="tx1"/>
                  </w14:solidFill>
                </w14:textFill>
              </w:rPr>
              <w:t>；</w:t>
            </w:r>
          </w:p>
          <w:p w14:paraId="4243DF62">
            <w:pPr>
              <w:jc w:val="left"/>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2.5   NO</w:t>
            </w:r>
            <w:r>
              <w:rPr>
                <w:rFonts w:hint="eastAsia" w:ascii="宋体" w:hAnsi="宋体" w:eastAsia="宋体" w:cs="宋体"/>
                <w:color w:val="000000" w:themeColor="text1"/>
                <w:sz w:val="22"/>
                <w:szCs w:val="22"/>
                <w:highlight w:val="none"/>
                <w:vertAlign w:val="subscript"/>
                <w14:textFill>
                  <w14:solidFill>
                    <w14:schemeClr w14:val="tx1"/>
                  </w14:solidFill>
                </w14:textFill>
              </w:rPr>
              <w:t>2</w:t>
            </w:r>
            <w:r>
              <w:rPr>
                <w:rFonts w:hint="eastAsia" w:ascii="宋体" w:hAnsi="宋体" w:eastAsia="宋体" w:cs="宋体"/>
                <w:color w:val="000000" w:themeColor="text1"/>
                <w:sz w:val="22"/>
                <w:szCs w:val="22"/>
                <w:highlight w:val="none"/>
                <w14:textFill>
                  <w14:solidFill>
                    <w14:schemeClr w14:val="tx1"/>
                  </w14:solidFill>
                </w14:textFill>
              </w:rPr>
              <w:t>（电化学方法）：（0~200）mg/m</w:t>
            </w:r>
            <w:r>
              <w:rPr>
                <w:rFonts w:hint="eastAsia" w:ascii="宋体" w:hAnsi="宋体" w:eastAsia="宋体" w:cs="宋体"/>
                <w:color w:val="000000" w:themeColor="text1"/>
                <w:sz w:val="22"/>
                <w:szCs w:val="22"/>
                <w:highlight w:val="none"/>
                <w:vertAlign w:val="superscript"/>
                <w14:textFill>
                  <w14:solidFill>
                    <w14:schemeClr w14:val="tx1"/>
                  </w14:solidFill>
                </w14:textFill>
              </w:rPr>
              <w:t>3</w:t>
            </w:r>
            <w:r>
              <w:rPr>
                <w:rFonts w:hint="eastAsia" w:ascii="宋体" w:hAnsi="宋体" w:eastAsia="宋体" w:cs="宋体"/>
                <w:color w:val="000000" w:themeColor="text1"/>
                <w:sz w:val="22"/>
                <w:szCs w:val="22"/>
                <w:highlight w:val="none"/>
                <w14:textFill>
                  <w14:solidFill>
                    <w14:schemeClr w14:val="tx1"/>
                  </w14:solidFill>
                </w14:textFill>
              </w:rPr>
              <w:t>；分辨率：1mg/m</w:t>
            </w:r>
            <w:r>
              <w:rPr>
                <w:rFonts w:hint="eastAsia" w:ascii="宋体" w:hAnsi="宋体" w:eastAsia="宋体" w:cs="宋体"/>
                <w:color w:val="000000" w:themeColor="text1"/>
                <w:sz w:val="22"/>
                <w:szCs w:val="22"/>
                <w:highlight w:val="none"/>
                <w:vertAlign w:val="superscript"/>
                <w14:textFill>
                  <w14:solidFill>
                    <w14:schemeClr w14:val="tx1"/>
                  </w14:solidFill>
                </w14:textFill>
              </w:rPr>
              <w:t>3</w:t>
            </w:r>
            <w:r>
              <w:rPr>
                <w:rFonts w:hint="eastAsia" w:ascii="宋体" w:hAnsi="宋体" w:eastAsia="宋体" w:cs="宋体"/>
                <w:color w:val="000000" w:themeColor="text1"/>
                <w:sz w:val="22"/>
                <w:szCs w:val="22"/>
                <w:highlight w:val="none"/>
                <w14:textFill>
                  <w14:solidFill>
                    <w14:schemeClr w14:val="tx1"/>
                  </w14:solidFill>
                </w14:textFill>
              </w:rPr>
              <w:t xml:space="preserve">； </w:t>
            </w:r>
          </w:p>
          <w:p w14:paraId="67171A37">
            <w:pPr>
              <w:jc w:val="left"/>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2.6   CO（电化学方法）：（0~5000）mg/m</w:t>
            </w:r>
            <w:r>
              <w:rPr>
                <w:rFonts w:hint="eastAsia" w:ascii="宋体" w:hAnsi="宋体" w:eastAsia="宋体" w:cs="宋体"/>
                <w:color w:val="000000" w:themeColor="text1"/>
                <w:sz w:val="22"/>
                <w:szCs w:val="22"/>
                <w:highlight w:val="none"/>
                <w:vertAlign w:val="superscript"/>
                <w14:textFill>
                  <w14:solidFill>
                    <w14:schemeClr w14:val="tx1"/>
                  </w14:solidFill>
                </w14:textFill>
              </w:rPr>
              <w:t>3</w:t>
            </w:r>
            <w:r>
              <w:rPr>
                <w:rFonts w:hint="eastAsia" w:ascii="宋体" w:hAnsi="宋体" w:eastAsia="宋体" w:cs="宋体"/>
                <w:color w:val="000000" w:themeColor="text1"/>
                <w:sz w:val="22"/>
                <w:szCs w:val="22"/>
                <w:highlight w:val="none"/>
                <w14:textFill>
                  <w14:solidFill>
                    <w14:schemeClr w14:val="tx1"/>
                  </w14:solidFill>
                </w14:textFill>
              </w:rPr>
              <w:t>；分辨率：1mg/m</w:t>
            </w:r>
            <w:r>
              <w:rPr>
                <w:rFonts w:hint="eastAsia" w:ascii="宋体" w:hAnsi="宋体" w:eastAsia="宋体" w:cs="宋体"/>
                <w:color w:val="000000" w:themeColor="text1"/>
                <w:sz w:val="22"/>
                <w:szCs w:val="22"/>
                <w:highlight w:val="none"/>
                <w:vertAlign w:val="superscript"/>
                <w14:textFill>
                  <w14:solidFill>
                    <w14:schemeClr w14:val="tx1"/>
                  </w14:solidFill>
                </w14:textFill>
              </w:rPr>
              <w:t>3</w:t>
            </w:r>
            <w:r>
              <w:rPr>
                <w:rFonts w:hint="eastAsia" w:ascii="宋体" w:hAnsi="宋体" w:eastAsia="宋体" w:cs="宋体"/>
                <w:color w:val="000000" w:themeColor="text1"/>
                <w:sz w:val="22"/>
                <w:szCs w:val="22"/>
                <w:highlight w:val="none"/>
                <w14:textFill>
                  <w14:solidFill>
                    <w14:schemeClr w14:val="tx1"/>
                  </w14:solidFill>
                </w14:textFill>
              </w:rPr>
              <w:t>；。</w:t>
            </w:r>
          </w:p>
          <w:p w14:paraId="1F4F8A18">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w:t>
            </w: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2.7 重复性≤2%； </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2.8 响应时间≤90s；</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sz w:val="22"/>
                <w:szCs w:val="22"/>
                <w:highlight w:val="none"/>
                <w14:textFill>
                  <w14:solidFill>
                    <w14:schemeClr w14:val="tx1"/>
                  </w14:solidFill>
                </w14:textFill>
              </w:rPr>
              <w:t>■</w:t>
            </w:r>
            <w:r>
              <w:rPr>
                <w:rFonts w:hint="eastAsia" w:ascii="宋体" w:hAnsi="宋体" w:eastAsia="宋体" w:cs="宋体"/>
                <w:color w:val="000000" w:themeColor="text1"/>
                <w:kern w:val="0"/>
                <w:sz w:val="22"/>
                <w:szCs w:val="22"/>
                <w:highlight w:val="none"/>
                <w:lang w:bidi="ar"/>
                <w14:textFill>
                  <w14:solidFill>
                    <w14:schemeClr w14:val="tx1"/>
                  </w14:solidFill>
                </w14:textFill>
              </w:rPr>
              <w:t>2.9 稳定性：1h内示数值变化优于5%；</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3.配置：</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3.1.主机内置O</w:t>
            </w:r>
            <w:r>
              <w:rPr>
                <w:rFonts w:hint="eastAsia" w:ascii="宋体" w:hAnsi="宋体" w:eastAsia="宋体" w:cs="宋体"/>
                <w:color w:val="000000" w:themeColor="text1"/>
                <w:kern w:val="0"/>
                <w:sz w:val="22"/>
                <w:szCs w:val="22"/>
                <w:highlight w:val="none"/>
                <w:vertAlign w:val="subscript"/>
                <w:lang w:bidi="ar"/>
                <w14:textFill>
                  <w14:solidFill>
                    <w14:schemeClr w14:val="tx1"/>
                  </w14:solidFill>
                </w14:textFill>
              </w:rPr>
              <w:t>2</w:t>
            </w: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 SO</w:t>
            </w:r>
            <w:r>
              <w:rPr>
                <w:rFonts w:hint="eastAsia" w:ascii="宋体" w:hAnsi="宋体" w:eastAsia="宋体" w:cs="宋体"/>
                <w:color w:val="000000" w:themeColor="text1"/>
                <w:kern w:val="0"/>
                <w:sz w:val="22"/>
                <w:szCs w:val="22"/>
                <w:highlight w:val="none"/>
                <w:vertAlign w:val="subscript"/>
                <w:lang w:bidi="ar"/>
                <w14:textFill>
                  <w14:solidFill>
                    <w14:schemeClr w14:val="tx1"/>
                  </w14:solidFill>
                </w14:textFill>
              </w:rPr>
              <w:t>2</w:t>
            </w: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 NO NO</w:t>
            </w:r>
            <w:r>
              <w:rPr>
                <w:rFonts w:hint="eastAsia" w:ascii="宋体" w:hAnsi="宋体" w:eastAsia="宋体" w:cs="宋体"/>
                <w:color w:val="000000" w:themeColor="text1"/>
                <w:kern w:val="0"/>
                <w:sz w:val="22"/>
                <w:szCs w:val="22"/>
                <w:highlight w:val="none"/>
                <w:vertAlign w:val="subscript"/>
                <w:lang w:bidi="ar"/>
                <w14:textFill>
                  <w14:solidFill>
                    <w14:schemeClr w14:val="tx1"/>
                  </w14:solidFill>
                </w14:textFill>
              </w:rPr>
              <w:t>2</w:t>
            </w: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 CO 电化学模块；带CO干扰测试报告1份；</w:t>
            </w:r>
          </w:p>
          <w:p w14:paraId="356EF07E">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3.2.电源适配器1个；</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3.3.高效气水分离器1个</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3.4.便携式蓝牙打印机1个 </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3.5.烟气预处理器1个</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3.6.烟气含湿量检测器1个</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3.7.烟尘多功能取样管1个</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3.8.工况无线传输模块1个</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3.9.国家法定计量部门出具的检定校准证书1份。</w:t>
            </w:r>
          </w:p>
        </w:tc>
      </w:tr>
      <w:tr w14:paraId="2616F5A7">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05205210">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sz w:val="22"/>
                <w:szCs w:val="24"/>
                <w:highlight w:val="none"/>
                <w14:textFill>
                  <w14:solidFill>
                    <w14:schemeClr w14:val="tx1"/>
                  </w14:solidFill>
                </w14:textFill>
              </w:rPr>
              <w:t>3</w:t>
            </w:r>
          </w:p>
        </w:tc>
        <w:tc>
          <w:tcPr>
            <w:tcW w:w="3051" w:type="dxa"/>
            <w:tcBorders>
              <w:top w:val="single" w:color="000000" w:sz="8" w:space="0"/>
              <w:left w:val="single" w:color="000000" w:sz="8" w:space="0"/>
              <w:bottom w:val="single" w:color="000000" w:sz="8" w:space="0"/>
              <w:right w:val="single" w:color="000000" w:sz="8" w:space="0"/>
            </w:tcBorders>
            <w:vAlign w:val="center"/>
          </w:tcPr>
          <w:p w14:paraId="2F30E4C1">
            <w:pPr>
              <w:widowControl/>
              <w:snapToGrid w:val="0"/>
              <w:jc w:val="left"/>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全自动总磷总氮分析仪</w:t>
            </w:r>
          </w:p>
        </w:tc>
        <w:tc>
          <w:tcPr>
            <w:tcW w:w="10247" w:type="dxa"/>
            <w:tcBorders>
              <w:top w:val="single" w:color="000000" w:sz="8" w:space="0"/>
              <w:left w:val="single" w:color="000000" w:sz="8" w:space="0"/>
              <w:bottom w:val="single" w:color="000000" w:sz="8" w:space="0"/>
              <w:right w:val="single" w:color="000000" w:sz="8" w:space="0"/>
            </w:tcBorders>
            <w:vAlign w:val="center"/>
          </w:tcPr>
          <w:p w14:paraId="19ACB031">
            <w:pPr>
              <w:pageBreakBefore w:val="0"/>
              <w:kinsoku/>
              <w:wordWrap/>
              <w:overflowPunct/>
              <w:topLinePunct w:val="0"/>
              <w:autoSpaceDE/>
              <w:autoSpaceDN/>
              <w:bidi w:val="0"/>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1、用于水中总磷、总氮指标的全自动化检测，</w:t>
            </w:r>
            <w:r>
              <w:rPr>
                <w:rFonts w:hint="eastAsia" w:ascii="宋体" w:hAnsi="宋体" w:eastAsia="宋体" w:cs="宋体"/>
                <w:color w:val="000000" w:themeColor="text1"/>
                <w:sz w:val="21"/>
                <w:szCs w:val="21"/>
                <w:highlight w:val="none"/>
                <w:lang w:val="en-US" w:eastAsia="zh-CN"/>
                <w14:textFill>
                  <w14:solidFill>
                    <w14:schemeClr w14:val="tx1"/>
                  </w14:solidFill>
                </w14:textFill>
              </w:rPr>
              <w:t>符合</w:t>
            </w:r>
            <w:r>
              <w:rPr>
                <w:rFonts w:hint="eastAsia" w:ascii="宋体" w:hAnsi="宋体" w:eastAsia="宋体" w:cs="宋体"/>
                <w:color w:val="000000" w:themeColor="text1"/>
                <w:sz w:val="21"/>
                <w:szCs w:val="21"/>
                <w:highlight w:val="none"/>
                <w14:textFill>
                  <w14:solidFill>
                    <w14:schemeClr w14:val="tx1"/>
                  </w14:solidFill>
                </w14:textFill>
              </w:rPr>
              <w:t>《水质 总磷的测定 钼酸铵分光光度法》（GB/T 11893-1989）、《水质 总氮的测定 碱性过硫酸钾消解紫外分光光度法》（HJ636-2012）方法标准；</w:t>
            </w:r>
          </w:p>
          <w:p w14:paraId="3A0A6F61">
            <w:pPr>
              <w:pageBreakBefore w:val="0"/>
              <w:kinsoku/>
              <w:wordWrap/>
              <w:overflowPunct/>
              <w:topLinePunct w:val="0"/>
              <w:autoSpaceDE/>
              <w:autoSpaceDN/>
              <w:bidi w:val="0"/>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2、全流程自动化完成批量样品试剂加入、消解、冷却、定容、混匀、检测、清洗、数据采集与处理、数据报告生成等操作；</w:t>
            </w:r>
          </w:p>
          <w:p w14:paraId="38C627F3">
            <w:pPr>
              <w:pageBreakBefore w:val="0"/>
              <w:kinsoku/>
              <w:wordWrap/>
              <w:overflowPunct/>
              <w:topLinePunct w:val="0"/>
              <w:autoSpaceDE/>
              <w:autoSpaceDN/>
              <w:bidi w:val="0"/>
              <w:adjustRightInd/>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3、仪器可按单个标准母液，自动配置标准梯度，建立标准曲线；</w:t>
            </w:r>
          </w:p>
          <w:p w14:paraId="1D926F16">
            <w:pPr>
              <w:keepNext w:val="0"/>
              <w:keepLines w:val="0"/>
              <w:pageBreakBefore w:val="0"/>
              <w:widowControl/>
              <w:suppressLineNumbers w:val="0"/>
              <w:kinsoku/>
              <w:wordWrap/>
              <w:overflowPunct/>
              <w:topLinePunct w:val="0"/>
              <w:autoSpaceDE/>
              <w:autoSpaceDN/>
              <w:bidi w:val="0"/>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▲4、仪器可按测试结果自动稀释后重新测试</w:t>
            </w:r>
            <w:r>
              <w:rPr>
                <w:rFonts w:hint="eastAsia" w:ascii="宋体" w:hAnsi="宋体" w:eastAsia="宋体" w:cs="宋体"/>
                <w:color w:val="000000" w:themeColor="text1"/>
                <w:sz w:val="21"/>
                <w:szCs w:val="21"/>
                <w:highlight w:val="none"/>
                <w:lang w:val="en-US" w:eastAsia="zh-CN"/>
                <w14:textFill>
                  <w14:solidFill>
                    <w14:schemeClr w14:val="tx1"/>
                  </w14:solidFill>
                </w14:textFill>
              </w:rPr>
              <w:t>或人工下达指令</w:t>
            </w:r>
            <w:r>
              <w:rPr>
                <w:rFonts w:hint="eastAsia" w:ascii="宋体" w:hAnsi="宋体" w:eastAsia="宋体" w:cs="宋体"/>
                <w:color w:val="000000" w:themeColor="text1"/>
                <w:sz w:val="21"/>
                <w:szCs w:val="21"/>
                <w:highlight w:val="none"/>
                <w14:textFill>
                  <w14:solidFill>
                    <w14:schemeClr w14:val="tx1"/>
                  </w14:solidFill>
                </w14:textFill>
              </w:rPr>
              <w:t>；稀释倍数不小于20倍</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 xml:space="preserve"> </w:t>
            </w:r>
          </w:p>
          <w:p w14:paraId="3D330D8C">
            <w:pPr>
              <w:pageBreakBefore w:val="0"/>
              <w:kinsoku/>
              <w:wordWrap/>
              <w:overflowPunct/>
              <w:topLinePunct w:val="0"/>
              <w:autoSpaceDE/>
              <w:autoSpaceDN/>
              <w:bidi w:val="0"/>
              <w:spacing w:line="360" w:lineRule="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消解系统，样品独立密封、消解，消解温度为120-124℃，工作压力为1.1-1.4kg/cm²，消解时间30min；</w:t>
            </w:r>
          </w:p>
          <w:p w14:paraId="61A8A3A8">
            <w:pPr>
              <w:pageBreakBefore w:val="0"/>
              <w:kinsoku/>
              <w:wordWrap/>
              <w:overflowPunct/>
              <w:topLinePunct w:val="0"/>
              <w:autoSpaceDE/>
              <w:autoSpaceDN/>
              <w:bidi w:val="0"/>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样品瓶自动添加试剂。</w:t>
            </w:r>
          </w:p>
          <w:p w14:paraId="7C3E7A3B">
            <w:pPr>
              <w:pageBreakBefore w:val="0"/>
              <w:kinsoku/>
              <w:wordWrap/>
              <w:overflowPunct/>
              <w:topLinePunct w:val="0"/>
              <w:autoSpaceDE/>
              <w:autoSpaceDN/>
              <w:bidi w:val="0"/>
              <w:spacing w:line="360" w:lineRule="auto"/>
              <w:rPr>
                <w:rFonts w:hint="eastAsia" w:ascii="宋体" w:hAnsi="宋体" w:eastAsia="宋体" w:cs="宋体"/>
                <w:color w:val="000000" w:themeColor="text1"/>
                <w:sz w:val="21"/>
                <w:szCs w:val="21"/>
                <w:highlight w:val="none"/>
                <w:lang w:val="en-US"/>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14:textFill>
                  <w14:solidFill>
                    <w14:schemeClr w14:val="tx1"/>
                  </w14:solidFill>
                </w14:textFill>
              </w:rPr>
              <w:t>、比色测定系统，采用高精度CCD检测器</w:t>
            </w:r>
            <w:r>
              <w:rPr>
                <w:rFonts w:hint="eastAsia" w:ascii="宋体" w:hAnsi="宋体" w:eastAsia="宋体" w:cs="宋体"/>
                <w:color w:val="000000" w:themeColor="text1"/>
                <w:sz w:val="21"/>
                <w:szCs w:val="21"/>
                <w:highlight w:val="none"/>
                <w:lang w:val="en-US" w:eastAsia="zh-CN"/>
                <w14:textFill>
                  <w14:solidFill>
                    <w14:schemeClr w14:val="tx1"/>
                  </w14:solidFill>
                </w14:textFill>
              </w:rPr>
              <w:t>或分光光度计检测</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一次可以进行多波长同时测定；</w:t>
            </w:r>
          </w:p>
          <w:p w14:paraId="27517FF2">
            <w:pPr>
              <w:pageBreakBefore w:val="0"/>
              <w:kinsoku/>
              <w:wordWrap/>
              <w:overflowPunct/>
              <w:topLinePunct w:val="0"/>
              <w:autoSpaceDE/>
              <w:autoSpaceDN/>
              <w:bidi w:val="0"/>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8</w:t>
            </w:r>
            <w:r>
              <w:rPr>
                <w:rFonts w:hint="eastAsia" w:ascii="宋体" w:hAnsi="宋体" w:eastAsia="宋体" w:cs="宋体"/>
                <w:color w:val="000000" w:themeColor="text1"/>
                <w:sz w:val="21"/>
                <w:szCs w:val="21"/>
                <w:highlight w:val="none"/>
                <w14:textFill>
                  <w14:solidFill>
                    <w14:schemeClr w14:val="tx1"/>
                  </w14:solidFill>
                </w14:textFill>
              </w:rPr>
              <w:t>、仪器</w:t>
            </w:r>
            <w:r>
              <w:rPr>
                <w:rFonts w:hint="eastAsia" w:ascii="宋体" w:hAnsi="宋体" w:eastAsia="宋体" w:cs="宋体"/>
                <w:color w:val="000000" w:themeColor="text1"/>
                <w:sz w:val="21"/>
                <w:szCs w:val="21"/>
                <w:highlight w:val="none"/>
                <w:lang w:val="en-US" w:eastAsia="zh-CN"/>
                <w14:textFill>
                  <w14:solidFill>
                    <w14:schemeClr w14:val="tx1"/>
                  </w14:solidFill>
                </w14:textFill>
              </w:rPr>
              <w:t>具</w:t>
            </w:r>
            <w:r>
              <w:rPr>
                <w:rFonts w:hint="eastAsia" w:ascii="宋体" w:hAnsi="宋体" w:eastAsia="宋体" w:cs="宋体"/>
                <w:color w:val="000000" w:themeColor="text1"/>
                <w:sz w:val="21"/>
                <w:szCs w:val="21"/>
                <w:highlight w:val="none"/>
                <w14:textFill>
                  <w14:solidFill>
                    <w14:schemeClr w14:val="tx1"/>
                  </w14:solidFill>
                </w14:textFill>
              </w:rPr>
              <w:t>有自动清洗功能；</w:t>
            </w:r>
          </w:p>
          <w:p w14:paraId="26EC3F4C">
            <w:pPr>
              <w:pageBreakBefore w:val="0"/>
              <w:kinsoku/>
              <w:wordWrap/>
              <w:overflowPunct/>
              <w:topLinePunct w:val="0"/>
              <w:autoSpaceDE/>
              <w:autoSpaceDN/>
              <w:bidi w:val="0"/>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14:textFill>
                  <w14:solidFill>
                    <w14:schemeClr w14:val="tx1"/>
                  </w14:solidFill>
                </w14:textFill>
              </w:rPr>
              <w:t>、可自动配置梯度标液，自动绘制标准曲线；</w:t>
            </w:r>
          </w:p>
          <w:p w14:paraId="237B1109">
            <w:pPr>
              <w:pageBreakBefore w:val="0"/>
              <w:kinsoku/>
              <w:wordWrap/>
              <w:overflowPunct/>
              <w:topLinePunct w:val="0"/>
              <w:autoSpaceDE/>
              <w:autoSpaceDN/>
              <w:bidi w:val="0"/>
              <w:spacing w:line="360" w:lineRule="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0</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能实</w:t>
            </w:r>
            <w:r>
              <w:rPr>
                <w:rFonts w:hint="eastAsia" w:ascii="宋体" w:hAnsi="宋体" w:eastAsia="宋体" w:cs="宋体"/>
                <w:color w:val="000000" w:themeColor="text1"/>
                <w:sz w:val="21"/>
                <w:szCs w:val="21"/>
                <w:highlight w:val="none"/>
                <w14:textFill>
                  <w14:solidFill>
                    <w14:schemeClr w14:val="tx1"/>
                  </w14:solidFill>
                </w14:textFill>
              </w:rPr>
              <w:t>现绘制标准曲线、数据保存、数据调用、生成测试报告</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实时上传检测数据等功能。</w:t>
            </w:r>
          </w:p>
          <w:p w14:paraId="141D696F">
            <w:pPr>
              <w:pageBreakBefore w:val="0"/>
              <w:kinsoku/>
              <w:wordWrap/>
              <w:overflowPunct/>
              <w:topLinePunct w:val="0"/>
              <w:autoSpaceDE/>
              <w:autoSpaceDN/>
              <w:bidi w:val="0"/>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、仪器指标：</w:t>
            </w:r>
          </w:p>
          <w:p w14:paraId="4A90CEB2">
            <w:pPr>
              <w:pageBreakBefore w:val="0"/>
              <w:kinsoku/>
              <w:wordWrap/>
              <w:overflowPunct/>
              <w:topLinePunct w:val="0"/>
              <w:autoSpaceDE/>
              <w:autoSpaceDN/>
              <w:bidi w:val="0"/>
              <w:spacing w:line="360" w:lineRule="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11.1测定范围：TP：（0-1.2）mg/L（不稀释，取样量25 mL时），TN: 0-7mg/L（不稀释，取样量10ML时）；</w:t>
            </w:r>
          </w:p>
          <w:p w14:paraId="741D2EDE">
            <w:pPr>
              <w:pageBreakBefore w:val="0"/>
              <w:kinsoku/>
              <w:wordWrap/>
              <w:overflowPunct/>
              <w:topLinePunct w:val="0"/>
              <w:autoSpaceDE/>
              <w:autoSpaceDN/>
              <w:bidi w:val="0"/>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.2检出限：TP：≤0.01 mg/L, TN: ≤0.05 mg/L；</w:t>
            </w:r>
          </w:p>
          <w:p w14:paraId="2201E2A7">
            <w:pPr>
              <w:pageBreakBefore w:val="0"/>
              <w:kinsoku/>
              <w:wordWrap/>
              <w:overflowPunct/>
              <w:topLinePunct w:val="0"/>
              <w:autoSpaceDE/>
              <w:autoSpaceDN/>
              <w:bidi w:val="0"/>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.4重复性：TP:1.0mg/LRSD&lt;1.0%,0.5mg/LRSD&lt;3.5%</w:t>
            </w:r>
          </w:p>
          <w:p w14:paraId="0484A491">
            <w:pPr>
              <w:pageBreakBefore w:val="0"/>
              <w:kinsoku/>
              <w:wordWrap/>
              <w:overflowPunct/>
              <w:topLinePunct w:val="0"/>
              <w:autoSpaceDE/>
              <w:autoSpaceDN/>
              <w:bidi w:val="0"/>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TN: 4.0mg/LRSD&lt;1.0%,2.0mg/LRSD&lt;3.5%</w:t>
            </w:r>
          </w:p>
          <w:p w14:paraId="2CB280EC">
            <w:pPr>
              <w:pageBreakBefore w:val="0"/>
              <w:kinsoku/>
              <w:wordWrap/>
              <w:overflowPunct/>
              <w:topLinePunct w:val="0"/>
              <w:autoSpaceDE/>
              <w:autoSpaceDN/>
              <w:bidi w:val="0"/>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.5消解位不少于</w:t>
            </w:r>
            <w:r>
              <w:rPr>
                <w:rFonts w:hint="eastAsia" w:ascii="宋体" w:hAnsi="宋体" w:eastAsia="宋体" w:cs="宋体"/>
                <w:color w:val="000000" w:themeColor="text1"/>
                <w:sz w:val="21"/>
                <w:szCs w:val="21"/>
                <w:highlight w:val="none"/>
                <w:lang w:val="en-US" w:eastAsia="zh-CN"/>
                <w14:textFill>
                  <w14:solidFill>
                    <w14:schemeClr w14:val="tx1"/>
                  </w14:solidFill>
                </w14:textFill>
              </w:rPr>
              <w:t>20</w:t>
            </w:r>
            <w:r>
              <w:rPr>
                <w:rFonts w:hint="eastAsia" w:ascii="宋体" w:hAnsi="宋体" w:eastAsia="宋体" w:cs="宋体"/>
                <w:color w:val="000000" w:themeColor="text1"/>
                <w:sz w:val="21"/>
                <w:szCs w:val="21"/>
                <w:highlight w:val="none"/>
                <w14:textFill>
                  <w14:solidFill>
                    <w14:schemeClr w14:val="tx1"/>
                  </w14:solidFill>
                </w14:textFill>
              </w:rPr>
              <w:t>个</w:t>
            </w:r>
          </w:p>
          <w:p w14:paraId="792D91A6">
            <w:pPr>
              <w:pageBreakBefore w:val="0"/>
              <w:kinsoku/>
              <w:wordWrap/>
              <w:overflowPunct/>
              <w:topLinePunct w:val="0"/>
              <w:autoSpaceDE/>
              <w:autoSpaceDN/>
              <w:bidi w:val="0"/>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.6自动进样器样品位：</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不少于40</w:t>
            </w:r>
            <w:r>
              <w:rPr>
                <w:rFonts w:hint="eastAsia" w:ascii="宋体" w:hAnsi="宋体" w:eastAsia="宋体" w:cs="宋体"/>
                <w:color w:val="000000" w:themeColor="text1"/>
                <w:sz w:val="21"/>
                <w:szCs w:val="21"/>
                <w:highlight w:val="none"/>
                <w14:textFill>
                  <w14:solidFill>
                    <w14:schemeClr w14:val="tx1"/>
                  </w14:solidFill>
                </w14:textFill>
              </w:rPr>
              <w:t>位</w:t>
            </w:r>
          </w:p>
          <w:p w14:paraId="53A3E76C">
            <w:pPr>
              <w:pageBreakBefore w:val="0"/>
              <w:kinsoku/>
              <w:wordWrap/>
              <w:overflowPunct/>
              <w:topLinePunct w:val="0"/>
              <w:autoSpaceDE/>
              <w:autoSpaceDN/>
              <w:bidi w:val="0"/>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、仪器配置</w:t>
            </w:r>
          </w:p>
          <w:p w14:paraId="09EB3699">
            <w:pPr>
              <w:pageBreakBefore w:val="0"/>
              <w:kinsoku/>
              <w:wordWrap/>
              <w:overflowPunct/>
              <w:topLinePunct w:val="0"/>
              <w:autoSpaceDE/>
              <w:autoSpaceDN/>
              <w:bidi w:val="0"/>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.1总磷总氮智能分析仪 1套（内置：高温高压消解系统、比色测定系统、试剂定量加液系统、自动清洗系统、数据</w:t>
            </w:r>
            <w:r>
              <w:rPr>
                <w:rFonts w:hint="eastAsia" w:ascii="宋体" w:hAnsi="宋体" w:eastAsia="宋体" w:cs="宋体"/>
                <w:color w:val="000000" w:themeColor="text1"/>
                <w:sz w:val="21"/>
                <w:szCs w:val="21"/>
                <w:highlight w:val="none"/>
                <w:lang w:val="en-US" w:eastAsia="zh-CN"/>
                <w14:textFill>
                  <w14:solidFill>
                    <w14:schemeClr w14:val="tx1"/>
                  </w14:solidFill>
                </w14:textFill>
              </w:rPr>
              <w:t>输入输出</w:t>
            </w:r>
            <w:r>
              <w:rPr>
                <w:rFonts w:hint="eastAsia" w:ascii="宋体" w:hAnsi="宋体" w:eastAsia="宋体" w:cs="宋体"/>
                <w:color w:val="000000" w:themeColor="text1"/>
                <w:sz w:val="21"/>
                <w:szCs w:val="21"/>
                <w:highlight w:val="none"/>
                <w14:textFill>
                  <w14:solidFill>
                    <w14:schemeClr w14:val="tx1"/>
                  </w14:solidFill>
                </w14:textFill>
              </w:rPr>
              <w:t>处理控制系统）</w:t>
            </w:r>
          </w:p>
          <w:p w14:paraId="246A826D">
            <w:pPr>
              <w:pageBreakBefore w:val="0"/>
              <w:kinsoku/>
              <w:wordWrap/>
              <w:overflowPunct/>
              <w:topLinePunct w:val="0"/>
              <w:autoSpaceDE/>
              <w:autoSpaceDN/>
              <w:bidi w:val="0"/>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.2 自动进样器 1套</w:t>
            </w:r>
          </w:p>
          <w:p w14:paraId="68792E61">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.3打印机 1套</w:t>
            </w:r>
          </w:p>
        </w:tc>
      </w:tr>
      <w:tr w14:paraId="574DAF24">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3C9963F7">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sz w:val="22"/>
                <w:szCs w:val="24"/>
                <w:highlight w:val="none"/>
                <w14:textFill>
                  <w14:solidFill>
                    <w14:schemeClr w14:val="tx1"/>
                  </w14:solidFill>
                </w14:textFill>
              </w:rPr>
              <w:t>4</w:t>
            </w:r>
          </w:p>
        </w:tc>
        <w:tc>
          <w:tcPr>
            <w:tcW w:w="3051" w:type="dxa"/>
            <w:tcBorders>
              <w:top w:val="single" w:color="000000" w:sz="8" w:space="0"/>
              <w:left w:val="single" w:color="000000" w:sz="8" w:space="0"/>
              <w:bottom w:val="single" w:color="000000" w:sz="8" w:space="0"/>
              <w:right w:val="single" w:color="000000" w:sz="8" w:space="0"/>
            </w:tcBorders>
            <w:vAlign w:val="center"/>
          </w:tcPr>
          <w:p w14:paraId="1DBED62A">
            <w:pPr>
              <w:widowControl/>
              <w:snapToGrid w:val="0"/>
              <w:jc w:val="left"/>
              <w:textAlignment w:val="center"/>
              <w:rPr>
                <w:rFonts w:hint="default" w:ascii="Times New Roman" w:hAnsi="Times New Roman" w:eastAsia="宋体" w:cs="Times New Roman"/>
                <w:color w:val="000000" w:themeColor="text1"/>
                <w:sz w:val="22"/>
                <w:szCs w:val="24"/>
                <w:highlight w:val="none"/>
                <w14:textFill>
                  <w14:solidFill>
                    <w14:schemeClr w14:val="tx1"/>
                  </w14:solidFill>
                </w14:textFill>
              </w:rPr>
            </w:pPr>
            <w:r>
              <w:rPr>
                <w:rFonts w:hint="default" w:ascii="Times New Roman" w:hAnsi="Times New Roman" w:eastAsia="宋体" w:cs="Times New Roman"/>
                <w:color w:val="000000" w:themeColor="text1"/>
                <w:kern w:val="0"/>
                <w:sz w:val="22"/>
                <w:szCs w:val="24"/>
                <w:highlight w:val="none"/>
                <w:lang w:bidi="ar"/>
                <w14:textFill>
                  <w14:solidFill>
                    <w14:schemeClr w14:val="tx1"/>
                  </w14:solidFill>
                </w14:textFill>
              </w:rPr>
              <w:t>全自动氨氮测定仪</w:t>
            </w:r>
          </w:p>
        </w:tc>
        <w:tc>
          <w:tcPr>
            <w:tcW w:w="10247" w:type="dxa"/>
            <w:tcBorders>
              <w:top w:val="single" w:color="000000" w:sz="8" w:space="0"/>
              <w:left w:val="single" w:color="000000" w:sz="8" w:space="0"/>
              <w:bottom w:val="single" w:color="000000" w:sz="8" w:space="0"/>
              <w:right w:val="single" w:color="000000" w:sz="8" w:space="0"/>
            </w:tcBorders>
            <w:vAlign w:val="center"/>
          </w:tcPr>
          <w:p w14:paraId="1D80996D">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一、基本要求：</w:t>
            </w:r>
          </w:p>
          <w:p w14:paraId="5951D420">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1.1、测量方法： 《HJ535-2009 水质 氨氮的测定 纳氏试剂分光光度法》</w:t>
            </w:r>
          </w:p>
          <w:p w14:paraId="4352C877">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1.2、水样类型：地表水、地下水、工业废水和生活污水中氨氮的测定。</w:t>
            </w:r>
          </w:p>
          <w:p w14:paraId="685405A0">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二、功能特点：</w:t>
            </w:r>
          </w:p>
          <w:p w14:paraId="7BDF1455">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2.1、多功能含进样一体式主机：</w:t>
            </w:r>
          </w:p>
          <w:p w14:paraId="56851F95">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2.1.1、含自动进样、自动絮凝沉淀、</w:t>
            </w:r>
            <w:r>
              <w:rPr>
                <w:rFonts w:hint="eastAsia" w:ascii="Times New Roman" w:hAnsi="Times New Roman" w:eastAsia="宋体" w:cs="Times New Roman"/>
                <w:color w:val="000000" w:themeColor="text1"/>
                <w:szCs w:val="22"/>
                <w:highlight w:val="none"/>
                <w:lang w:val="en-US" w:eastAsia="zh-CN"/>
                <w14:textFill>
                  <w14:solidFill>
                    <w14:schemeClr w14:val="tx1"/>
                  </w14:solidFill>
                </w14:textFill>
              </w:rPr>
              <w:t>自动过滤、</w:t>
            </w: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自动测量、自动清洗等多种功能为一体。</w:t>
            </w:r>
          </w:p>
          <w:p w14:paraId="401F3C13">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2.1.2、可兼容多种测量方法：</w:t>
            </w:r>
          </w:p>
          <w:p w14:paraId="6BEF47ED">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2.1.2.1、直接测量法：自动抽取水样，自动加试剂，自动显色，自动测量。</w:t>
            </w:r>
          </w:p>
          <w:p w14:paraId="4CAD8C48">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2.1.2.2、絮凝沉淀法：自动加絮凝剂，自动絮凝沉淀，</w:t>
            </w:r>
            <w:r>
              <w:rPr>
                <w:rFonts w:hint="eastAsia" w:ascii="Times New Roman" w:hAnsi="Times New Roman" w:eastAsia="宋体" w:cs="Times New Roman"/>
                <w:color w:val="000000" w:themeColor="text1"/>
                <w:szCs w:val="22"/>
                <w:highlight w:val="none"/>
                <w:lang w:val="en-US" w:eastAsia="zh-CN"/>
                <w14:textFill>
                  <w14:solidFill>
                    <w14:schemeClr w14:val="tx1"/>
                  </w14:solidFill>
                </w14:textFill>
              </w:rPr>
              <w:t>自动过滤、</w:t>
            </w: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自动抽取水样，自动加试剂，自动计时显色，自动测量</w:t>
            </w:r>
          </w:p>
          <w:p w14:paraId="7CDC1B8A">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 xml:space="preserve">2.1.3、仪器采用高精度注射泵，进样、试剂注射、分离自动完成，自带反冲洗功能，无交叉污染； </w:t>
            </w:r>
          </w:p>
          <w:p w14:paraId="03225BA0">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2.1.4、软件内置多种方法，适配不同分析需求，在软件内可自行切换。</w:t>
            </w:r>
          </w:p>
          <w:p w14:paraId="667698B4">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2.1.5、自动配制标液，自动做工作曲线，自动绘制标准曲线，提高实验效率，标准母液自动比例稀释，符合国标要求8个标准浓度点，且线性系数＞0.999，保证标线数据准确性。</w:t>
            </w:r>
          </w:p>
          <w:p w14:paraId="32CFDB4C">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2.1.6、紧急样品可中途加样，标记优先样品，对于标记优先样品优先测量。</w:t>
            </w:r>
          </w:p>
          <w:p w14:paraId="108EC23E">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2.1.7、试剂计量：精密注射器，</w:t>
            </w:r>
            <w:r>
              <w:rPr>
                <w:rFonts w:hint="eastAsia" w:ascii="Times New Roman" w:hAnsi="Times New Roman" w:eastAsia="宋体" w:cs="Times New Roman"/>
                <w:color w:val="000000" w:themeColor="text1"/>
                <w:kern w:val="0"/>
                <w:sz w:val="21"/>
                <w:szCs w:val="21"/>
                <w:highlight w:val="none"/>
                <w:lang w:bidi="ar"/>
                <w14:textFill>
                  <w14:solidFill>
                    <w14:schemeClr w14:val="tx1"/>
                  </w14:solidFill>
                </w14:textFill>
              </w:rPr>
              <w:t>精准控制试剂抽取量</w:t>
            </w:r>
          </w:p>
          <w:p w14:paraId="73ADC980">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2.1.8、</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不同试剂</w:t>
            </w:r>
            <w:r>
              <w:rPr>
                <w:rFonts w:ascii="Times New Roman" w:hAnsi="Times New Roman" w:eastAsia="宋体" w:cs="Times New Roman"/>
                <w:color w:val="000000" w:themeColor="text1"/>
                <w:kern w:val="0"/>
                <w:sz w:val="21"/>
                <w:szCs w:val="21"/>
                <w:highlight w:val="none"/>
                <w:lang w:bidi="ar"/>
                <w14:textFill>
                  <w14:solidFill>
                    <w14:schemeClr w14:val="tx1"/>
                  </w14:solidFill>
                </w14:textFill>
              </w:rPr>
              <w:t>采用多通</w:t>
            </w:r>
            <w:r>
              <w:rPr>
                <w:rFonts w:hint="eastAsia" w:ascii="Times New Roman" w:hAnsi="Times New Roman" w:eastAsia="宋体" w:cs="Times New Roman"/>
                <w:color w:val="000000" w:themeColor="text1"/>
                <w:kern w:val="0"/>
                <w:sz w:val="21"/>
                <w:szCs w:val="21"/>
                <w:highlight w:val="none"/>
                <w:lang w:eastAsia="zh-CN" w:bidi="ar"/>
                <w14:textFill>
                  <w14:solidFill>
                    <w14:schemeClr w14:val="tx1"/>
                  </w14:solidFill>
                </w14:textFill>
              </w:rPr>
              <w:t>道</w:t>
            </w:r>
            <w:r>
              <w:rPr>
                <w:rFonts w:ascii="Times New Roman" w:hAnsi="Times New Roman" w:eastAsia="宋体" w:cs="Times New Roman"/>
                <w:color w:val="000000" w:themeColor="text1"/>
                <w:kern w:val="0"/>
                <w:sz w:val="21"/>
                <w:szCs w:val="21"/>
                <w:highlight w:val="none"/>
                <w:lang w:bidi="ar"/>
                <w14:textFill>
                  <w14:solidFill>
                    <w14:schemeClr w14:val="tx1"/>
                  </w14:solidFill>
                </w14:textFill>
              </w:rPr>
              <w:t>切换阀</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或采用</w:t>
            </w:r>
            <w:r>
              <w:rPr>
                <w:rFonts w:hint="eastAsia" w:ascii="Times New Roman" w:hAnsi="Times New Roman" w:eastAsia="宋体" w:cs="Times New Roman"/>
                <w:color w:val="000000" w:themeColor="text1"/>
                <w:kern w:val="0"/>
                <w:sz w:val="21"/>
                <w:szCs w:val="21"/>
                <w:highlight w:val="none"/>
                <w:lang w:bidi="ar"/>
                <w14:textFill>
                  <w14:solidFill>
                    <w14:schemeClr w14:val="tx1"/>
                  </w14:solidFill>
                </w14:textFill>
              </w:rPr>
              <w:t>独立的管路、泵、阀</w:t>
            </w:r>
            <w:r>
              <w:rPr>
                <w:rFonts w:ascii="Times New Roman" w:hAnsi="Times New Roman" w:eastAsia="宋体" w:cs="Times New Roman"/>
                <w:color w:val="000000" w:themeColor="text1"/>
                <w:kern w:val="0"/>
                <w:sz w:val="21"/>
                <w:szCs w:val="21"/>
                <w:highlight w:val="none"/>
                <w:lang w:bidi="ar"/>
                <w14:textFill>
                  <w14:solidFill>
                    <w14:schemeClr w14:val="tx1"/>
                  </w14:solidFill>
                </w14:textFill>
              </w:rPr>
              <w:t>和精密注射器配合</w:t>
            </w:r>
          </w:p>
          <w:p w14:paraId="6A649E76">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2.1.9、注射泵重复7次、10次、20次，注射25ml重量法称重： RSD&lt;0.05%，注射2.5ml重量法称重：RSD&lt;0.5%。</w:t>
            </w:r>
          </w:p>
          <w:p w14:paraId="17B0B567">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三、技术指标</w:t>
            </w:r>
          </w:p>
          <w:p w14:paraId="288D35A0">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3.1、测量方法：《HJ535-2009 水质 氨氮的测定 纳氏试剂分光光度法》</w:t>
            </w:r>
          </w:p>
          <w:p w14:paraId="2AEB38CF">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3.2、样品位：</w:t>
            </w:r>
            <w:r>
              <w:rPr>
                <w:rFonts w:hint="eastAsia" w:ascii="宋体" w:hAnsi="宋体" w:eastAsia="宋体" w:cs="宋体"/>
                <w:b w:val="0"/>
                <w:bCs/>
                <w:snapToGrid w:val="0"/>
                <w:color w:val="000000" w:themeColor="text1"/>
                <w:kern w:val="2"/>
                <w:sz w:val="21"/>
                <w:szCs w:val="21"/>
                <w:highlight w:val="none"/>
                <w:lang w:val="en-US" w:eastAsia="zh-CN" w:bidi="ar"/>
                <w14:textFill>
                  <w14:solidFill>
                    <w14:schemeClr w14:val="tx1"/>
                  </w14:solidFill>
                </w14:textFill>
              </w:rPr>
              <w:t>≥40</w:t>
            </w:r>
            <w:r>
              <w:rPr>
                <w:rFonts w:ascii="Times New Roman" w:hAnsi="Times New Roman" w:eastAsia="宋体" w:cs="Times New Roman"/>
                <w:color w:val="000000" w:themeColor="text1"/>
                <w:kern w:val="0"/>
                <w:sz w:val="21"/>
                <w:szCs w:val="21"/>
                <w:highlight w:val="none"/>
                <w:lang w:bidi="ar"/>
                <w14:textFill>
                  <w14:solidFill>
                    <w14:schemeClr w14:val="tx1"/>
                  </w14:solidFill>
                </w14:textFill>
              </w:rPr>
              <w:t>位</w:t>
            </w:r>
          </w:p>
          <w:p w14:paraId="762F27C2">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3.3、做样时间：</w:t>
            </w:r>
            <w:r>
              <w:rPr>
                <w:rFonts w:hint="eastAsia" w:ascii="宋体" w:hAnsi="宋体" w:eastAsia="宋体" w:cs="宋体"/>
                <w:b w:val="0"/>
                <w:bCs/>
                <w:snapToGrid w:val="0"/>
                <w:color w:val="000000" w:themeColor="text1"/>
                <w:kern w:val="2"/>
                <w:sz w:val="21"/>
                <w:szCs w:val="21"/>
                <w:highlight w:val="none"/>
                <w:lang w:val="en-US" w:eastAsia="zh-CN" w:bidi="ar"/>
                <w14:textFill>
                  <w14:solidFill>
                    <w14:schemeClr w14:val="tx1"/>
                  </w14:solidFill>
                </w14:textFill>
              </w:rPr>
              <w:t>≤</w:t>
            </w:r>
            <w:r>
              <w:rPr>
                <w:rFonts w:ascii="Times New Roman" w:hAnsi="Times New Roman" w:eastAsia="宋体" w:cs="Times New Roman"/>
                <w:color w:val="000000" w:themeColor="text1"/>
                <w:kern w:val="0"/>
                <w:sz w:val="21"/>
                <w:szCs w:val="21"/>
                <w:highlight w:val="none"/>
                <w:lang w:bidi="ar"/>
                <w14:textFill>
                  <w14:solidFill>
                    <w14:schemeClr w14:val="tx1"/>
                  </w14:solidFill>
                </w14:textFill>
              </w:rPr>
              <w:t>7分钟/水样（直接法），</w:t>
            </w:r>
            <w:r>
              <w:rPr>
                <w:rFonts w:hint="eastAsia" w:ascii="宋体" w:hAnsi="宋体" w:eastAsia="宋体" w:cs="宋体"/>
                <w:b w:val="0"/>
                <w:bCs/>
                <w:snapToGrid w:val="0"/>
                <w:color w:val="000000" w:themeColor="text1"/>
                <w:kern w:val="2"/>
                <w:sz w:val="21"/>
                <w:szCs w:val="21"/>
                <w:highlight w:val="none"/>
                <w:lang w:val="en-US" w:eastAsia="zh-CN" w:bidi="ar"/>
                <w14:textFill>
                  <w14:solidFill>
                    <w14:schemeClr w14:val="tx1"/>
                  </w14:solidFill>
                </w14:textFill>
              </w:rPr>
              <w:t>≤</w:t>
            </w:r>
            <w:r>
              <w:rPr>
                <w:rFonts w:ascii="Times New Roman" w:hAnsi="Times New Roman" w:eastAsia="宋体" w:cs="Times New Roman"/>
                <w:color w:val="000000" w:themeColor="text1"/>
                <w:kern w:val="0"/>
                <w:sz w:val="21"/>
                <w:szCs w:val="21"/>
                <w:highlight w:val="none"/>
                <w:lang w:bidi="ar"/>
                <w14:textFill>
                  <w14:solidFill>
                    <w14:schemeClr w14:val="tx1"/>
                  </w14:solidFill>
                </w14:textFill>
              </w:rPr>
              <w:t>12分钟/水样（絮凝沉淀法）</w:t>
            </w:r>
          </w:p>
          <w:p w14:paraId="5D09D7A7">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3.4、测量范围：0-2.0mg/L。</w:t>
            </w:r>
          </w:p>
          <w:p w14:paraId="3F32400D">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3.5、检出限：0.025mg/L</w:t>
            </w:r>
          </w:p>
          <w:p w14:paraId="064465BD">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3.6、准 确 度：＜2%</w:t>
            </w:r>
          </w:p>
          <w:p w14:paraId="16015D63">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3.7、精 密 度：RSD≤3%</w:t>
            </w:r>
          </w:p>
          <w:p w14:paraId="3C38FF01">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3.8、回 收 率：＞95%</w:t>
            </w:r>
          </w:p>
          <w:p w14:paraId="38CAAF5B">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3.9、线性系数：＞0.9995，自动配置工作曲线</w:t>
            </w:r>
          </w:p>
          <w:p w14:paraId="6EA4AA4E">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3.10、水样用量：直接法和絮凝沉淀法：100mL</w:t>
            </w:r>
          </w:p>
          <w:p w14:paraId="353CFBC4">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四、配置清单：</w:t>
            </w:r>
          </w:p>
          <w:p w14:paraId="7A67B413">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4.1、全自动氨氮含进样一体式主机：1台</w:t>
            </w:r>
          </w:p>
          <w:p w14:paraId="670F6186">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4.2、电脑含操作系统：1套</w:t>
            </w:r>
          </w:p>
          <w:p w14:paraId="5C9AB66E">
            <w:pP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2"/>
                <w:highlight w:val="none"/>
                <w:lang w:val="en-US" w:eastAsia="zh-CN"/>
                <w14:textFill>
                  <w14:solidFill>
                    <w14:schemeClr w14:val="tx1"/>
                  </w14:solidFill>
                </w14:textFill>
              </w:rPr>
              <w:t>4.3、标准配件及耗材（含1年）:  1套</w:t>
            </w:r>
          </w:p>
          <w:p w14:paraId="39D37571">
            <w:pPr>
              <w:widowControl/>
              <w:snapToGrid w:val="0"/>
              <w:jc w:val="left"/>
              <w:textAlignment w:val="center"/>
              <w:rPr>
                <w:rFonts w:hint="default" w:ascii="Times New Roman" w:hAnsi="Times New Roman" w:eastAsia="宋体" w:cs="Times New Roman"/>
                <w:color w:val="000000" w:themeColor="text1"/>
                <w:sz w:val="22"/>
                <w:szCs w:val="22"/>
                <w:highlight w:val="none"/>
                <w14:textFill>
                  <w14:solidFill>
                    <w14:schemeClr w14:val="tx1"/>
                  </w14:solidFill>
                </w14:textFill>
              </w:rPr>
            </w:pPr>
          </w:p>
        </w:tc>
      </w:tr>
      <w:tr w14:paraId="3047B997">
        <w:tblPrEx>
          <w:tblCellMar>
            <w:top w:w="0" w:type="dxa"/>
            <w:left w:w="108" w:type="dxa"/>
            <w:bottom w:w="0" w:type="dxa"/>
            <w:right w:w="108" w:type="dxa"/>
          </w:tblCellMar>
        </w:tblPrEx>
        <w:trPr>
          <w:trHeight w:val="1781"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5FC8F5E1">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sz w:val="22"/>
                <w:szCs w:val="24"/>
                <w:highlight w:val="none"/>
                <w14:textFill>
                  <w14:solidFill>
                    <w14:schemeClr w14:val="tx1"/>
                  </w14:solidFill>
                </w14:textFill>
              </w:rPr>
              <w:t>5</w:t>
            </w:r>
          </w:p>
        </w:tc>
        <w:tc>
          <w:tcPr>
            <w:tcW w:w="3051" w:type="dxa"/>
            <w:tcBorders>
              <w:top w:val="single" w:color="000000" w:sz="8" w:space="0"/>
              <w:left w:val="single" w:color="000000" w:sz="8" w:space="0"/>
              <w:bottom w:val="single" w:color="000000" w:sz="8" w:space="0"/>
              <w:right w:val="single" w:color="000000" w:sz="8" w:space="0"/>
            </w:tcBorders>
            <w:vAlign w:val="center"/>
          </w:tcPr>
          <w:p w14:paraId="77E60EFA">
            <w:pPr>
              <w:widowControl/>
              <w:snapToGrid w:val="0"/>
              <w:jc w:val="left"/>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全自动高锰酸盐指数分析仪</w:t>
            </w:r>
          </w:p>
        </w:tc>
        <w:tc>
          <w:tcPr>
            <w:tcW w:w="10247" w:type="dxa"/>
            <w:tcBorders>
              <w:top w:val="single" w:color="000000" w:sz="8" w:space="0"/>
              <w:left w:val="single" w:color="000000" w:sz="8" w:space="0"/>
              <w:bottom w:val="single" w:color="000000" w:sz="8" w:space="0"/>
              <w:right w:val="single" w:color="000000" w:sz="8" w:space="0"/>
            </w:tcBorders>
            <w:vAlign w:val="center"/>
          </w:tcPr>
          <w:p w14:paraId="5F673DCE">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3"/>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1.主机配置和备件耗材</w:t>
            </w:r>
          </w:p>
          <w:p w14:paraId="657C54D9">
            <w:pPr>
              <w:keepNext w:val="0"/>
              <w:keepLines w:val="0"/>
              <w:pageBreakBefore w:val="0"/>
              <w:widowControl w:val="0"/>
              <w:tabs>
                <w:tab w:val="left" w:pos="3000"/>
              </w:tabs>
              <w:kinsoku/>
              <w:wordWrap/>
              <w:overflowPunct/>
              <w:topLinePunct w:val="0"/>
              <w:autoSpaceDE/>
              <w:autoSpaceDN/>
              <w:bidi w:val="0"/>
              <w:adjustRightInd/>
              <w:snapToGrid/>
              <w:spacing w:line="360" w:lineRule="auto"/>
              <w:ind w:firstLine="422" w:firstLineChars="200"/>
              <w:textAlignment w:val="auto"/>
              <w:outlineLvl w:val="3"/>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b/>
                <w:color w:val="000000" w:themeColor="text1"/>
                <w:sz w:val="21"/>
                <w:szCs w:val="21"/>
                <w:highlight w:val="none"/>
                <w:lang w:val="en-US" w:eastAsia="zh-CN"/>
                <w14:textFill>
                  <w14:solidFill>
                    <w14:schemeClr w14:val="tx1"/>
                  </w14:solidFill>
                </w14:textFill>
              </w:rPr>
              <w:t>（采购数量按招标清单为准，这里只表示每台采购设备应配置的备件或耗材数量）</w:t>
            </w:r>
          </w:p>
          <w:tbl>
            <w:tblPr>
              <w:tblStyle w:val="23"/>
              <w:tblW w:w="100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1"/>
              <w:gridCol w:w="2893"/>
              <w:gridCol w:w="4373"/>
              <w:gridCol w:w="1494"/>
            </w:tblGrid>
            <w:tr w14:paraId="512EE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629" w:type="pct"/>
                  <w:noWrap w:val="0"/>
                  <w:vAlign w:val="center"/>
                </w:tcPr>
                <w:p w14:paraId="50F9F7F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443" w:type="pct"/>
                  <w:noWrap w:val="0"/>
                  <w:vAlign w:val="center"/>
                </w:tcPr>
                <w:p w14:paraId="36076AB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名称</w:t>
                  </w:r>
                </w:p>
              </w:tc>
              <w:tc>
                <w:tcPr>
                  <w:tcW w:w="2181" w:type="pct"/>
                  <w:noWrap w:val="0"/>
                  <w:vAlign w:val="center"/>
                </w:tcPr>
                <w:p w14:paraId="635BF12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说明</w:t>
                  </w:r>
                </w:p>
              </w:tc>
              <w:tc>
                <w:tcPr>
                  <w:tcW w:w="745" w:type="pct"/>
                  <w:noWrap w:val="0"/>
                  <w:vAlign w:val="center"/>
                </w:tcPr>
                <w:p w14:paraId="704D349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数量</w:t>
                  </w:r>
                </w:p>
                <w:p w14:paraId="0E8EC9C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（台/套）</w:t>
                  </w:r>
                </w:p>
              </w:tc>
            </w:tr>
            <w:tr w14:paraId="15B0B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629" w:type="pct"/>
                  <w:noWrap w:val="0"/>
                  <w:vAlign w:val="center"/>
                </w:tcPr>
                <w:p w14:paraId="081C0A2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主机</w:t>
                  </w:r>
                </w:p>
              </w:tc>
              <w:tc>
                <w:tcPr>
                  <w:tcW w:w="1443" w:type="pct"/>
                  <w:noWrap w:val="0"/>
                  <w:vAlign w:val="center"/>
                </w:tcPr>
                <w:p w14:paraId="68A15CC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全自动高锰酸盐指数分析仪</w:t>
                  </w:r>
                </w:p>
              </w:tc>
              <w:tc>
                <w:tcPr>
                  <w:tcW w:w="2181" w:type="pct"/>
                  <w:noWrap w:val="0"/>
                  <w:vAlign w:val="center"/>
                </w:tcPr>
                <w:p w14:paraId="2B5D816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包括加液系统</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消解系统、滴定系统、温控系统、检测系统和数据处理系统（含工作站软件）</w:t>
                  </w:r>
                  <w:r>
                    <w:rPr>
                      <w:rFonts w:hint="eastAsia" w:ascii="宋体" w:hAnsi="宋体" w:eastAsia="宋体" w:cs="宋体"/>
                      <w:color w:val="000000" w:themeColor="text1"/>
                      <w:sz w:val="21"/>
                      <w:szCs w:val="21"/>
                      <w:highlight w:val="none"/>
                      <w14:textFill>
                        <w14:solidFill>
                          <w14:schemeClr w14:val="tx1"/>
                        </w14:solidFill>
                      </w14:textFill>
                    </w:rPr>
                    <w:t>等</w:t>
                  </w:r>
                </w:p>
              </w:tc>
              <w:tc>
                <w:tcPr>
                  <w:tcW w:w="745" w:type="pct"/>
                  <w:noWrap w:val="0"/>
                  <w:vAlign w:val="center"/>
                </w:tcPr>
                <w:p w14:paraId="78FFC3D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r>
            <w:tr w14:paraId="157B3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629" w:type="pct"/>
                  <w:noWrap w:val="0"/>
                  <w:vAlign w:val="center"/>
                </w:tcPr>
                <w:p w14:paraId="13F5BAB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备件/耗材</w:t>
                  </w:r>
                </w:p>
              </w:tc>
              <w:tc>
                <w:tcPr>
                  <w:tcW w:w="1443" w:type="pct"/>
                  <w:noWrap w:val="0"/>
                  <w:vAlign w:val="center"/>
                </w:tcPr>
                <w:p w14:paraId="46F66D0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样品杯</w:t>
                  </w:r>
                  <w:r>
                    <w:rPr>
                      <w:rFonts w:hint="eastAsia" w:ascii="宋体" w:hAnsi="宋体" w:eastAsia="宋体" w:cs="宋体"/>
                      <w:color w:val="000000" w:themeColor="text1"/>
                      <w:sz w:val="21"/>
                      <w:szCs w:val="21"/>
                      <w:highlight w:val="none"/>
                      <w:lang w:val="en-US" w:eastAsia="zh-CN"/>
                      <w14:textFill>
                        <w14:solidFill>
                          <w14:schemeClr w14:val="tx1"/>
                        </w14:solidFill>
                      </w14:textFill>
                    </w:rPr>
                    <w:t>及磁力搅拌子</w:t>
                  </w:r>
                </w:p>
              </w:tc>
              <w:tc>
                <w:tcPr>
                  <w:tcW w:w="2181" w:type="pct"/>
                  <w:noWrap w:val="0"/>
                  <w:vAlign w:val="center"/>
                </w:tcPr>
                <w:p w14:paraId="6EAABA9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须与主机匹配</w:t>
                  </w:r>
                </w:p>
              </w:tc>
              <w:tc>
                <w:tcPr>
                  <w:tcW w:w="745" w:type="pct"/>
                  <w:noWrap w:val="0"/>
                  <w:vAlign w:val="center"/>
                </w:tcPr>
                <w:p w14:paraId="5CADCC9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60</w:t>
                  </w:r>
                </w:p>
              </w:tc>
            </w:tr>
          </w:tbl>
          <w:p w14:paraId="616CA567">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3"/>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2.工作条件</w:t>
            </w:r>
          </w:p>
          <w:p w14:paraId="1B1339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GB"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GB" w:eastAsia="zh-CN"/>
                <w14:textFill>
                  <w14:solidFill>
                    <w14:schemeClr w14:val="tx1"/>
                  </w14:solidFill>
                </w14:textFill>
              </w:rPr>
              <w:t>2.1工作环境温度：10</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GB" w:eastAsia="zh-CN"/>
                <w14:textFill>
                  <w14:solidFill>
                    <w14:schemeClr w14:val="tx1"/>
                  </w14:solidFill>
                </w14:textFill>
              </w:rPr>
              <w:t>40℃。</w:t>
            </w:r>
          </w:p>
          <w:p w14:paraId="76BEEFF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GB"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GB" w:eastAsia="zh-CN"/>
                <w14:textFill>
                  <w14:solidFill>
                    <w14:schemeClr w14:val="tx1"/>
                  </w14:solidFill>
                </w14:textFill>
              </w:rPr>
              <w:t>2.2工作环境</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相对</w:t>
            </w:r>
            <w:r>
              <w:rPr>
                <w:rFonts w:hint="eastAsia" w:ascii="宋体" w:hAnsi="宋体" w:eastAsia="宋体" w:cs="宋体"/>
                <w:b w:val="0"/>
                <w:bCs w:val="0"/>
                <w:color w:val="000000" w:themeColor="text1"/>
                <w:sz w:val="21"/>
                <w:szCs w:val="21"/>
                <w:highlight w:val="none"/>
                <w:lang w:val="en-GB" w:eastAsia="zh-CN"/>
                <w14:textFill>
                  <w14:solidFill>
                    <w14:schemeClr w14:val="tx1"/>
                  </w14:solidFill>
                </w14:textFill>
              </w:rPr>
              <w:t>湿度：20%～80%。</w:t>
            </w:r>
          </w:p>
          <w:p w14:paraId="169FC2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GB"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GB" w:eastAsia="zh-CN"/>
                <w14:textFill>
                  <w14:solidFill>
                    <w14:schemeClr w14:val="tx1"/>
                  </w14:solidFill>
                </w14:textFill>
              </w:rPr>
              <w:t>2.3电源：</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AC 200V～240V,50Hz</w:t>
            </w:r>
            <w:r>
              <w:rPr>
                <w:rFonts w:hint="eastAsia" w:ascii="宋体" w:hAnsi="宋体" w:eastAsia="宋体" w:cs="宋体"/>
                <w:b w:val="0"/>
                <w:bCs w:val="0"/>
                <w:color w:val="000000" w:themeColor="text1"/>
                <w:sz w:val="21"/>
                <w:szCs w:val="21"/>
                <w:highlight w:val="none"/>
                <w:lang w:val="en-GB" w:eastAsia="zh-CN"/>
                <w14:textFill>
                  <w14:solidFill>
                    <w14:schemeClr w14:val="tx1"/>
                  </w14:solidFill>
                </w14:textFill>
              </w:rPr>
              <w:t>。</w:t>
            </w:r>
          </w:p>
          <w:p w14:paraId="50EC31CE">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3"/>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3.仪器用途</w:t>
            </w:r>
          </w:p>
          <w:p w14:paraId="5203AD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3.1符合《水质高锰酸盐指数的测定 草酸钠还原酸性滴定法》（HJ 1445—2026）、《水质高锰酸盐指数的测定 草酸钠还原碱性滴定法》（HJ 1446—2026）、《生活饮用水标准检验方法 第7部分：有机物综合指标》（GB/T 5750.7-2023）中高锰酸盐指数的测定要求。</w:t>
            </w:r>
          </w:p>
          <w:p w14:paraId="25D65A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3.2支持酸性法与碱性法自主切换，默认采用酸性法，当样品氯离子含量高于300mg/L时可切换至碱性法，适配不同水质场景检测需求。</w:t>
            </w:r>
          </w:p>
          <w:p w14:paraId="28B635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3.3适用范围覆盖地表水、生活饮用水、水源水等各类水样中高锰酸盐指数的测定，可扩展总硬度、盐碘等指标检测功能。</w:t>
            </w:r>
          </w:p>
          <w:p w14:paraId="5D97558D">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3"/>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4.技术参数</w:t>
            </w:r>
          </w:p>
          <w:p w14:paraId="1AE7F5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▲4.1样品位配置：样品位数量不少于48个，样品盘采用可独立取放的模块化设计，单次连续检测能力不低于48个水样。</w:t>
            </w:r>
          </w:p>
          <w:p w14:paraId="49E53A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4.2消解系统</w:t>
            </w:r>
          </w:p>
          <w:p w14:paraId="076603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■4.2.1消解方式：采用沸水浴加热，消解通道数量≥6个，支持多样品同时消解。</w:t>
            </w:r>
          </w:p>
          <w:p w14:paraId="06BDA9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▲4.2.2温控与计时：水浴温度可在 0-100℃范围内设定，精度≤1℃，消解时间可调。</w:t>
            </w:r>
          </w:p>
          <w:p w14:paraId="124743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4.2.3补水功能：具备缺水自动补水功能，补充水与消解区温度一致，避免温度波动影响检测结果。</w:t>
            </w:r>
          </w:p>
          <w:p w14:paraId="1F7B90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4.3滴定系统</w:t>
            </w:r>
          </w:p>
          <w:p w14:paraId="6ED9C5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▲4.3.1滴定方式：采用高精度注射泵滴定，配备三轴或四轴电驱动机械臂或机器人，</w:t>
            </w:r>
            <w:r>
              <w:rPr>
                <w:rFonts w:ascii="宋体" w:hAnsi="宋体" w:eastAsia="宋体" w:cs="宋体"/>
                <w:color w:val="000000" w:themeColor="text1"/>
                <w:sz w:val="21"/>
                <w:szCs w:val="21"/>
                <w:highlight w:val="none"/>
                <w14:textFill>
                  <w14:solidFill>
                    <w14:schemeClr w14:val="tx1"/>
                  </w14:solidFill>
                </w14:textFill>
              </w:rPr>
              <w:t>自动抓杯</w:t>
            </w:r>
            <w:r>
              <w:rPr>
                <w:rFonts w:hint="eastAsia" w:ascii="宋体" w:hAnsi="宋体" w:eastAsia="宋体" w:cs="宋体"/>
                <w:color w:val="000000" w:themeColor="text1"/>
                <w:sz w:val="21"/>
                <w:szCs w:val="21"/>
                <w:highlight w:val="none"/>
                <w:lang w:val="en-US" w:eastAsia="zh-CN"/>
                <w14:textFill>
                  <w14:solidFill>
                    <w14:schemeClr w14:val="tx1"/>
                  </w14:solidFill>
                </w14:textFill>
              </w:rPr>
              <w:t>转移</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p>
          <w:p w14:paraId="16CEA9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4.3.2滴定精度：高锰酸钾与草酸钠泵精度≤1.0%（10.0mL量程），滴定最小体积可达 0.02mL，确保滴定准确性。</w:t>
            </w:r>
          </w:p>
          <w:p w14:paraId="4C41D2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4.3.3终点识别：采用高分辨率视觉传感器技术，通过溶液颜色变化自动识别滴定终点，不受水体浊度、色度干扰（150NTU 浊度、1.0mg/L 色度条件下误差≤5.0%），要求样品滴定完成后，仪器具有终点</w:t>
            </w:r>
            <w:r>
              <w:rPr>
                <w:rFonts w:hint="eastAsia" w:ascii="宋体" w:hAnsi="宋体" w:eastAsia="宋体" w:cs="宋体"/>
                <w:i w:val="0"/>
                <w:iCs w:val="0"/>
                <w:color w:val="000000" w:themeColor="text1"/>
                <w:kern w:val="2"/>
                <w:sz w:val="21"/>
                <w:szCs w:val="21"/>
                <w:highlight w:val="none"/>
                <w:u w:val="none"/>
                <w:lang w:val="en-US" w:eastAsia="zh-CN" w:bidi="ar"/>
                <w14:textFill>
                  <w14:solidFill>
                    <w14:schemeClr w14:val="tx1"/>
                  </w14:solidFill>
                </w14:textFill>
              </w:rPr>
              <w:t>视频溯源功能，并</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可自动保存滴定前和滴定后水样的照片或视频，方便溯源。</w:t>
            </w:r>
          </w:p>
          <w:p w14:paraId="472282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■4.3.4滴定效率：具有不少于2个样品滴定通道，单个样品分析时间≤5min；</w:t>
            </w:r>
          </w:p>
          <w:p w14:paraId="63C25B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4.4安全与辅助功能</w:t>
            </w:r>
          </w:p>
          <w:p w14:paraId="7FE636A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4.4.1安全防护：具备漏电防护、加热过温防护、电源 EMI 防护、漏液防护等多项安全技术，保障操作人员安全。</w:t>
            </w:r>
          </w:p>
          <w:p w14:paraId="42EA22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4.4.2试剂管理：设有不少于 4 组试剂瓶存放区，</w:t>
            </w:r>
            <w:r>
              <w:rPr>
                <w:rFonts w:hint="eastAsia" w:ascii="宋体" w:hAnsi="宋体" w:eastAsia="宋体" w:cs="宋体"/>
                <w:i w:val="0"/>
                <w:iCs w:val="0"/>
                <w:color w:val="000000" w:themeColor="text1"/>
                <w:kern w:val="2"/>
                <w:sz w:val="21"/>
                <w:szCs w:val="21"/>
                <w:highlight w:val="none"/>
                <w:u w:val="none"/>
                <w:lang w:val="en-US" w:eastAsia="zh-CN" w:bidi="ar"/>
                <w14:textFill>
                  <w14:solidFill>
                    <w14:schemeClr w14:val="tx1"/>
                  </w14:solidFill>
                </w14:textFill>
              </w:rPr>
              <w:t>多通道试剂并行注入，没有试剂间的交叉污染，</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具备试剂液位实时监控与低液位预警功能，避免实验中断。</w:t>
            </w:r>
          </w:p>
          <w:p w14:paraId="151228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4.4.3自检与诊断：开机自动检测水浴液位、运动系统、加样系统等运行状态，具备故障诊断与提示功能，配备散热系统确保仪器长期稳定运行。</w:t>
            </w:r>
          </w:p>
          <w:p w14:paraId="135FBC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■4.5精密度：RSD≤3.0%（4.0mg/L左右葡萄糖标准溶液，n≥5次）。</w:t>
            </w:r>
          </w:p>
          <w:p w14:paraId="6DC841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4.6测量准确度：高中低三种不同浓度质控样允许误差范围内。</w:t>
            </w:r>
          </w:p>
          <w:p w14:paraId="53F0AE4A">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3"/>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5.数据处理系统</w:t>
            </w:r>
          </w:p>
          <w:p w14:paraId="21ABAC68">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数据输出和输入系统1套（品牌计算机，I5十二代及以上， 内存16G及以上， DVD刻录， 固态硬盘1T以上， ≥22液晶专用显示器，中文正版Win10 64位专业系统；A4黑白激光打印机1套。）</w:t>
            </w:r>
          </w:p>
        </w:tc>
      </w:tr>
      <w:tr w14:paraId="2B112EE0">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7338B0C5">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sz w:val="22"/>
                <w:szCs w:val="24"/>
                <w:highlight w:val="none"/>
                <w14:textFill>
                  <w14:solidFill>
                    <w14:schemeClr w14:val="tx1"/>
                  </w14:solidFill>
                </w14:textFill>
              </w:rPr>
              <w:t>6</w:t>
            </w:r>
          </w:p>
        </w:tc>
        <w:tc>
          <w:tcPr>
            <w:tcW w:w="3051" w:type="dxa"/>
            <w:tcBorders>
              <w:top w:val="single" w:color="000000" w:sz="8" w:space="0"/>
              <w:left w:val="single" w:color="000000" w:sz="8" w:space="0"/>
              <w:bottom w:val="single" w:color="000000" w:sz="8" w:space="0"/>
              <w:right w:val="single" w:color="000000" w:sz="8" w:space="0"/>
            </w:tcBorders>
            <w:vAlign w:val="center"/>
          </w:tcPr>
          <w:p w14:paraId="40C7BFEC">
            <w:pPr>
              <w:widowControl/>
              <w:snapToGrid w:val="0"/>
              <w:jc w:val="left"/>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ascii="宋体" w:hAnsi="宋体" w:eastAsia="宋体" w:cs="宋体"/>
                <w:color w:val="000000" w:themeColor="text1"/>
                <w:sz w:val="22"/>
                <w:szCs w:val="24"/>
                <w:highlight w:val="none"/>
                <w:lang w:bidi="ar"/>
                <w14:textFill>
                  <w14:solidFill>
                    <w14:schemeClr w14:val="tx1"/>
                  </w14:solidFill>
                </w14:textFill>
              </w:rPr>
              <w:t>全自动COD测定仪</w:t>
            </w:r>
          </w:p>
        </w:tc>
        <w:tc>
          <w:tcPr>
            <w:tcW w:w="10247" w:type="dxa"/>
            <w:tcBorders>
              <w:top w:val="single" w:color="000000" w:sz="8" w:space="0"/>
              <w:left w:val="single" w:color="000000" w:sz="8" w:space="0"/>
              <w:bottom w:val="single" w:color="000000" w:sz="8" w:space="0"/>
              <w:right w:val="single" w:color="000000" w:sz="8" w:space="0"/>
            </w:tcBorders>
            <w:noWrap/>
            <w:vAlign w:val="center"/>
          </w:tcPr>
          <w:p w14:paraId="1BE8893A">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1.主机配置及备件耗材</w:t>
            </w:r>
          </w:p>
          <w:p w14:paraId="7DC01872">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（采购数量按招标清单为准，这里只表示每台采购设备应配置的备件或耗材数量）</w:t>
            </w:r>
          </w:p>
          <w:tbl>
            <w:tblPr>
              <w:tblStyle w:val="23"/>
              <w:tblW w:w="49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5"/>
              <w:gridCol w:w="2605"/>
              <w:gridCol w:w="4939"/>
              <w:gridCol w:w="1270"/>
            </w:tblGrid>
            <w:tr w14:paraId="05B15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516" w:type="pct"/>
                  <w:vAlign w:val="center"/>
                </w:tcPr>
                <w:p w14:paraId="3BA1FA8E">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p>
              </w:tc>
              <w:tc>
                <w:tcPr>
                  <w:tcW w:w="1325" w:type="pct"/>
                  <w:vAlign w:val="center"/>
                </w:tcPr>
                <w:p w14:paraId="05745B15">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名称</w:t>
                  </w:r>
                </w:p>
              </w:tc>
              <w:tc>
                <w:tcPr>
                  <w:tcW w:w="2512" w:type="pct"/>
                  <w:vAlign w:val="center"/>
                </w:tcPr>
                <w:p w14:paraId="6178CF41">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说明</w:t>
                  </w:r>
                </w:p>
              </w:tc>
              <w:tc>
                <w:tcPr>
                  <w:tcW w:w="646" w:type="pct"/>
                  <w:vAlign w:val="center"/>
                </w:tcPr>
                <w:p w14:paraId="5F8ACE13">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数量</w:t>
                  </w:r>
                </w:p>
                <w:p w14:paraId="67F25B53">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（台/套）</w:t>
                  </w:r>
                </w:p>
              </w:tc>
            </w:tr>
            <w:tr w14:paraId="3ED6E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516" w:type="pct"/>
                  <w:vAlign w:val="center"/>
                </w:tcPr>
                <w:p w14:paraId="4E3B2A7C">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主机</w:t>
                  </w:r>
                </w:p>
              </w:tc>
              <w:tc>
                <w:tcPr>
                  <w:tcW w:w="1325" w:type="pct"/>
                  <w:vAlign w:val="center"/>
                </w:tcPr>
                <w:p w14:paraId="06528A8A">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全自动COD分析仪</w:t>
                  </w:r>
                </w:p>
              </w:tc>
              <w:tc>
                <w:tcPr>
                  <w:tcW w:w="2512" w:type="pct"/>
                  <w:vAlign w:val="center"/>
                </w:tcPr>
                <w:p w14:paraId="3F921D60">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包括加液系统、消解系统、滴定系统、温控系统、检测系统和数据处理系统（含工作站软件）等</w:t>
                  </w:r>
                </w:p>
              </w:tc>
              <w:tc>
                <w:tcPr>
                  <w:tcW w:w="646" w:type="pct"/>
                  <w:vAlign w:val="center"/>
                </w:tcPr>
                <w:p w14:paraId="16037253">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w:t>
                  </w:r>
                </w:p>
              </w:tc>
            </w:tr>
            <w:tr w14:paraId="3368B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pct"/>
                  <w:vMerge w:val="restart"/>
                  <w:vAlign w:val="center"/>
                </w:tcPr>
                <w:p w14:paraId="0AFDEB83">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备件/</w:t>
                  </w:r>
                </w:p>
                <w:p w14:paraId="057547B8">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耗材</w:t>
                  </w:r>
                </w:p>
              </w:tc>
              <w:tc>
                <w:tcPr>
                  <w:tcW w:w="1325" w:type="pct"/>
                  <w:vAlign w:val="center"/>
                </w:tcPr>
                <w:p w14:paraId="71D31184">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冷却循环水机</w:t>
                  </w:r>
                </w:p>
              </w:tc>
              <w:tc>
                <w:tcPr>
                  <w:tcW w:w="2512" w:type="pct"/>
                  <w:vAlign w:val="center"/>
                </w:tcPr>
                <w:p w14:paraId="06B071A3">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w:t>
                  </w:r>
                </w:p>
              </w:tc>
              <w:tc>
                <w:tcPr>
                  <w:tcW w:w="646" w:type="pct"/>
                  <w:vAlign w:val="center"/>
                </w:tcPr>
                <w:p w14:paraId="122F94B0">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w:t>
                  </w:r>
                </w:p>
              </w:tc>
            </w:tr>
            <w:tr w14:paraId="37254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pct"/>
                  <w:vMerge w:val="continue"/>
                  <w:vAlign w:val="center"/>
                </w:tcPr>
                <w:p w14:paraId="1A678866">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p>
              </w:tc>
              <w:tc>
                <w:tcPr>
                  <w:tcW w:w="1325" w:type="pct"/>
                  <w:vAlign w:val="center"/>
                </w:tcPr>
                <w:p w14:paraId="6C850541">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COD智能回流消解器</w:t>
                  </w:r>
                </w:p>
              </w:tc>
              <w:tc>
                <w:tcPr>
                  <w:tcW w:w="2512" w:type="pct"/>
                  <w:vAlign w:val="center"/>
                </w:tcPr>
                <w:p w14:paraId="613F1438">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12位，控温范围：室温～350℃，冷却方式：风冷/水冷，带液晶显示屏</w:t>
                  </w:r>
                </w:p>
              </w:tc>
              <w:tc>
                <w:tcPr>
                  <w:tcW w:w="646" w:type="pct"/>
                  <w:vAlign w:val="center"/>
                </w:tcPr>
                <w:p w14:paraId="439EE524">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w:t>
                  </w:r>
                </w:p>
              </w:tc>
            </w:tr>
            <w:tr w14:paraId="6E556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pct"/>
                  <w:vMerge w:val="continue"/>
                  <w:vAlign w:val="center"/>
                </w:tcPr>
                <w:p w14:paraId="23CFA24D">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p>
              </w:tc>
              <w:tc>
                <w:tcPr>
                  <w:tcW w:w="1325" w:type="pct"/>
                  <w:vAlign w:val="center"/>
                </w:tcPr>
                <w:p w14:paraId="3A27D616">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样品杯及磁力搅拌子</w:t>
                  </w:r>
                </w:p>
              </w:tc>
              <w:tc>
                <w:tcPr>
                  <w:tcW w:w="2512" w:type="pct"/>
                  <w:vAlign w:val="center"/>
                </w:tcPr>
                <w:p w14:paraId="3C359928">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与样品位数一致为1套</w:t>
                  </w:r>
                </w:p>
              </w:tc>
              <w:tc>
                <w:tcPr>
                  <w:tcW w:w="646" w:type="pct"/>
                  <w:vAlign w:val="center"/>
                </w:tcPr>
                <w:p w14:paraId="11FDA3E0">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2套</w:t>
                  </w:r>
                </w:p>
              </w:tc>
            </w:tr>
            <w:tr w14:paraId="2CD52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pct"/>
                  <w:vMerge w:val="continue"/>
                  <w:vAlign w:val="center"/>
                </w:tcPr>
                <w:p w14:paraId="02FFA270">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p>
              </w:tc>
              <w:tc>
                <w:tcPr>
                  <w:tcW w:w="1325" w:type="pct"/>
                  <w:vAlign w:val="center"/>
                </w:tcPr>
                <w:p w14:paraId="300B4217">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试剂瓶架及试剂瓶</w:t>
                  </w:r>
                </w:p>
              </w:tc>
              <w:tc>
                <w:tcPr>
                  <w:tcW w:w="2512" w:type="pct"/>
                  <w:vAlign w:val="center"/>
                </w:tcPr>
                <w:p w14:paraId="53DB6B46">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w:t>
                  </w:r>
                </w:p>
              </w:tc>
              <w:tc>
                <w:tcPr>
                  <w:tcW w:w="646" w:type="pct"/>
                  <w:vAlign w:val="center"/>
                </w:tcPr>
                <w:p w14:paraId="5293A3A7">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1套</w:t>
                  </w:r>
                </w:p>
              </w:tc>
            </w:tr>
            <w:tr w14:paraId="0D32E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pct"/>
                  <w:vMerge w:val="continue"/>
                  <w:vAlign w:val="center"/>
                </w:tcPr>
                <w:p w14:paraId="5DC2D592">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p>
              </w:tc>
              <w:tc>
                <w:tcPr>
                  <w:tcW w:w="1325" w:type="pct"/>
                  <w:vAlign w:val="center"/>
                </w:tcPr>
                <w:p w14:paraId="5F3F7BE8">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纯水桶</w:t>
                  </w:r>
                </w:p>
              </w:tc>
              <w:tc>
                <w:tcPr>
                  <w:tcW w:w="2512" w:type="pct"/>
                  <w:vAlign w:val="center"/>
                </w:tcPr>
                <w:p w14:paraId="30217FE9">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w:t>
                  </w:r>
                </w:p>
              </w:tc>
              <w:tc>
                <w:tcPr>
                  <w:tcW w:w="646" w:type="pct"/>
                  <w:vAlign w:val="center"/>
                </w:tcPr>
                <w:p w14:paraId="6310F76B">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1个</w:t>
                  </w:r>
                </w:p>
              </w:tc>
            </w:tr>
            <w:tr w14:paraId="13FC8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pct"/>
                  <w:vMerge w:val="continue"/>
                  <w:vAlign w:val="center"/>
                </w:tcPr>
                <w:p w14:paraId="682A54E4">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p>
              </w:tc>
              <w:tc>
                <w:tcPr>
                  <w:tcW w:w="1325" w:type="pct"/>
                  <w:vAlign w:val="center"/>
                </w:tcPr>
                <w:p w14:paraId="51242541">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废液桶</w:t>
                  </w:r>
                </w:p>
              </w:tc>
              <w:tc>
                <w:tcPr>
                  <w:tcW w:w="2512" w:type="pct"/>
                  <w:vAlign w:val="center"/>
                </w:tcPr>
                <w:p w14:paraId="23816864">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w:t>
                  </w:r>
                </w:p>
              </w:tc>
              <w:tc>
                <w:tcPr>
                  <w:tcW w:w="646" w:type="pct"/>
                  <w:vAlign w:val="center"/>
                </w:tcPr>
                <w:p w14:paraId="345D4956">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1个</w:t>
                  </w:r>
                </w:p>
              </w:tc>
            </w:tr>
            <w:tr w14:paraId="0E237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pct"/>
                  <w:vMerge w:val="continue"/>
                  <w:vAlign w:val="center"/>
                </w:tcPr>
                <w:p w14:paraId="692EA217">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p>
              </w:tc>
              <w:tc>
                <w:tcPr>
                  <w:tcW w:w="1325" w:type="pct"/>
                  <w:vAlign w:val="center"/>
                </w:tcPr>
                <w:p w14:paraId="2F36F872">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维修（护）工具包</w:t>
                  </w:r>
                </w:p>
              </w:tc>
              <w:tc>
                <w:tcPr>
                  <w:tcW w:w="2512" w:type="pct"/>
                  <w:vAlign w:val="center"/>
                </w:tcPr>
                <w:p w14:paraId="3A838D35">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w:t>
                  </w:r>
                </w:p>
              </w:tc>
              <w:tc>
                <w:tcPr>
                  <w:tcW w:w="646" w:type="pct"/>
                  <w:vAlign w:val="center"/>
                </w:tcPr>
                <w:p w14:paraId="46AFD1BF">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w:t>
                  </w:r>
                </w:p>
              </w:tc>
            </w:tr>
          </w:tbl>
          <w:p w14:paraId="4FC102C7">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2.仪器用途</w:t>
            </w:r>
          </w:p>
          <w:p w14:paraId="4261AC6C">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用于全自动测定环境水体中的化学需氧量（COD），整个实验过程全自动完成，无需人工值守，符合《水质化学需氧量的测定重铬酸盐法》（HJ828-2017）中化学需氧量的测定要求。</w:t>
            </w:r>
          </w:p>
          <w:p w14:paraId="0F507FB9">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3.技术参数</w:t>
            </w:r>
          </w:p>
          <w:p w14:paraId="751C7CDC">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3.1样品位数：≥20位。</w:t>
            </w:r>
          </w:p>
          <w:p w14:paraId="51433C47">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■3.2 消解位：≥20位，所有位可同时消解，消解方式：加热回流；消解时间可自由设定。</w:t>
            </w:r>
          </w:p>
          <w:p w14:paraId="76F0BACC">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▲3.3 滴定位：≥20位，单次滴定量：10-1000µL（任选）；具有在样品杯内消解、样品杯内滴定分析，无需转移样品的功能。</w:t>
            </w:r>
          </w:p>
          <w:p w14:paraId="50BA124E">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■3.4 硫酸银-硫酸和硫酸用两个独立的加液泵加液，或者硫酸-硫酸银使用单独通道进样。</w:t>
            </w:r>
          </w:p>
          <w:p w14:paraId="6DA58119">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■3.5 可移动式滴定传感器，用于进行颜色判定，滴定过程中仪器可根据样品的颜色自动调整滴定速度，单个高/低浓度样品滴定时间平均小于2.5分钟。</w:t>
            </w:r>
          </w:p>
          <w:p w14:paraId="157BDF9F">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3.6 检测范围：16～700mg/L。</w:t>
            </w:r>
          </w:p>
          <w:p w14:paraId="7D462EF8">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3.7 具有样品自动稀释功能，可对高浓度样品进行不同倍数的稀释；做空白试验时，10mL纯水由仪器自动加入。</w:t>
            </w:r>
          </w:p>
          <w:p w14:paraId="13B9FF57">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3.8 仪器主机上能实时显示加热器的温度和滴定的温度（滴定温度可以设置）。</w:t>
            </w:r>
          </w:p>
          <w:p w14:paraId="291C0411">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3.9 试剂添加方式：高精度注射泵加液，注射泵安装位置应便于观察、维护和更换。</w:t>
            </w:r>
          </w:p>
          <w:p w14:paraId="28BEB21A">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■3.10 具有双机械臂加液系统，可以实现硫酸汞、重铬酸钾标准溶液在样品杯内添加，硫酸银-硫酸溶液和纯净水在冷凝管瓶口上端添加，完全符合HJ828-2017中规定试剂添加方式。</w:t>
            </w:r>
          </w:p>
          <w:p w14:paraId="4D03DBD0">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■3.11 采用仿生视觉系统或智能的颜色传感器系统判定滴定终点，软件界面上可以以视频方式实时显示整个滴定过程，能观察滴定过程中样品的颜色变化和保存滴定前、后的水样照片或视频，方便溯源。</w:t>
            </w:r>
          </w:p>
          <w:p w14:paraId="1B3C8641">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3.12 具备冷凝管自动清洗、自动排废功能；具备机械臂故障报警并停止运行功能；具备管路堵塞报警并停止运行功能；注射器上具有液位传感器，具备未抽取到试剂报警并停止运行功能。</w:t>
            </w:r>
          </w:p>
          <w:p w14:paraId="338B7374">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3.13 仪器可自动判别待测样品位上是否放置样品杯，如有不匹配，仪器会自动报警。</w:t>
            </w:r>
          </w:p>
          <w:p w14:paraId="7795264B">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3.14 检出限：≤4.0mg/L。</w:t>
            </w:r>
          </w:p>
          <w:p w14:paraId="7C9AE708">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■3.15 仪器测量精密度：相对偏差不超过±10%。</w:t>
            </w:r>
          </w:p>
          <w:p w14:paraId="67E972E7">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3.16 仪器滴定精密度：RSD＜0.5%（连续6次滴定20µL，称重）。</w:t>
            </w:r>
          </w:p>
          <w:p w14:paraId="7F2233FD">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■3.17 仪器测量正确度：误差±5%（高低两种不同浓度COD标准溶液测定）。</w:t>
            </w:r>
          </w:p>
          <w:p w14:paraId="1A03A692">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4.数据处理系统</w:t>
            </w:r>
          </w:p>
          <w:p w14:paraId="373A0B51">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数据输出和输入系统1套（品牌计算机，I5十二代及以上， 内存16G及以上， DVD刻录， 固态硬盘1T以上， ≥22液晶专用显示器，中文正版Win10 64位专业系统；A4黑白激光打印机1套。）</w:t>
            </w:r>
          </w:p>
        </w:tc>
      </w:tr>
      <w:tr w14:paraId="0C90D16C">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799EF0D7">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sz w:val="22"/>
                <w:szCs w:val="24"/>
                <w:highlight w:val="none"/>
                <w14:textFill>
                  <w14:solidFill>
                    <w14:schemeClr w14:val="tx1"/>
                  </w14:solidFill>
                </w14:textFill>
              </w:rPr>
              <w:t>7</w:t>
            </w:r>
          </w:p>
        </w:tc>
        <w:tc>
          <w:tcPr>
            <w:tcW w:w="3051" w:type="dxa"/>
            <w:tcBorders>
              <w:top w:val="single" w:color="000000" w:sz="8" w:space="0"/>
              <w:left w:val="single" w:color="000000" w:sz="8" w:space="0"/>
              <w:bottom w:val="single" w:color="000000" w:sz="8" w:space="0"/>
              <w:right w:val="single" w:color="000000" w:sz="8" w:space="0"/>
            </w:tcBorders>
            <w:vAlign w:val="center"/>
          </w:tcPr>
          <w:p w14:paraId="266F59ED">
            <w:pPr>
              <w:widowControl/>
              <w:snapToGrid w:val="0"/>
              <w:jc w:val="left"/>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离子色谱仪</w:t>
            </w:r>
          </w:p>
        </w:tc>
        <w:tc>
          <w:tcPr>
            <w:tcW w:w="10247" w:type="dxa"/>
            <w:tcBorders>
              <w:top w:val="single" w:color="000000" w:sz="8" w:space="0"/>
              <w:left w:val="single" w:color="000000" w:sz="8" w:space="0"/>
              <w:bottom w:val="single" w:color="000000" w:sz="8" w:space="0"/>
              <w:right w:val="single" w:color="000000" w:sz="8" w:space="0"/>
            </w:tcBorders>
            <w:vAlign w:val="center"/>
          </w:tcPr>
          <w:p w14:paraId="57191B03">
            <w:pPr>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1离子色谱仪用途与功能</w:t>
            </w:r>
          </w:p>
          <w:p w14:paraId="1E11AB3D">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仪器可用于样品中常规阴离子：F-、Cl-、Br-、NO3-、NO2-、SO42-、PO43-、碘化物等指标的分析。</w:t>
            </w:r>
          </w:p>
          <w:p w14:paraId="11DAD07C">
            <w:pPr>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2 仪器配置：（采购数量按招标清单为准，这里只表示每台采购设备应配置的备件或耗材数量）</w:t>
            </w:r>
          </w:p>
          <w:p w14:paraId="6CCFD01D">
            <w:pPr>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一体化离子色谱系统：包括高压泵1套，内置柱温箱1套，保护柱1套，阴离子色谱柱1套，阴离子自再生微膜抑制器1套，电导检测器1套，自动进样器1套，软件操作系统1套，报警传感器1套，电脑打印机1套。</w:t>
            </w:r>
          </w:p>
          <w:p w14:paraId="37E630FE">
            <w:pPr>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3 性能及技术参数要求</w:t>
            </w:r>
          </w:p>
          <w:p w14:paraId="0E52BBD0">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3.1泵</w:t>
            </w:r>
          </w:p>
          <w:p w14:paraId="63658F4B">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3.1.1 泵头及管路均为化学惰性非金属材质，采用双柱塞串联/并联平流泵，配PEEK 泵头+全PEEK 流路，适合pH为0～14的淋洗液及反相有机溶剂；</w:t>
            </w:r>
          </w:p>
          <w:p w14:paraId="7E761BA0">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▲3.1.2最大耐压≥40MPa；</w:t>
            </w:r>
          </w:p>
          <w:p w14:paraId="372BF0C0">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3.1.3压力显示精度：≤0.1MPa；</w:t>
            </w:r>
          </w:p>
          <w:p w14:paraId="20D25E48">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3.1.4流量设定值允许误差：≤0.1% ；</w:t>
            </w:r>
          </w:p>
          <w:p w14:paraId="14ED33E6">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3.1.5流量稳定性：≤0.1% ；</w:t>
            </w:r>
          </w:p>
          <w:p w14:paraId="58B4807E">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3.1.6压力波动：≤0.5%；</w:t>
            </w:r>
          </w:p>
          <w:p w14:paraId="091CD892">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■3.1.7具有自动后冲洗系统，可以对柱塞杆和密封圈进行自动清洗；</w:t>
            </w:r>
          </w:p>
          <w:p w14:paraId="2828712E">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3.1.8流量范围：0.001-9.999mL/min（无需更换泵头）；流量增幅：≤0.001 mL/min；</w:t>
            </w:r>
          </w:p>
          <w:p w14:paraId="763B3F8A">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■3.1.9具有漏液传感器，可进行漏液报警。</w:t>
            </w:r>
          </w:p>
          <w:p w14:paraId="0DB82CD5">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3.2电导检测器</w:t>
            </w:r>
          </w:p>
          <w:p w14:paraId="2DE8C83B">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3.2.1 自动量程电导检测器，</w:t>
            </w:r>
            <w:r>
              <w:rPr>
                <w:rFonts w:hint="default" w:ascii="Times New Roman" w:hAnsi="Times New Roman" w:eastAsia="宋体" w:cs="Times New Roman"/>
                <w:color w:val="000000" w:themeColor="text1"/>
                <w:szCs w:val="21"/>
                <w:highlight w:val="none"/>
                <w14:textFill>
                  <w14:solidFill>
                    <w14:schemeClr w14:val="tx1"/>
                  </w14:solidFill>
                </w14:textFill>
              </w:rPr>
              <w:t>μg/L~g/L</w:t>
            </w:r>
            <w:r>
              <w:rPr>
                <w:rFonts w:hint="eastAsia" w:ascii="宋体" w:hAnsi="宋体" w:eastAsia="宋体" w:cs="宋体"/>
                <w:color w:val="000000" w:themeColor="text1"/>
                <w:szCs w:val="21"/>
                <w:highlight w:val="none"/>
                <w14:textFill>
                  <w14:solidFill>
                    <w14:schemeClr w14:val="tx1"/>
                  </w14:solidFill>
                </w14:textFill>
              </w:rPr>
              <w:t>浓度范围信号直接拓展，无需调整量程；</w:t>
            </w:r>
          </w:p>
          <w:p w14:paraId="5683B0DE">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3.2.2全程信号输出范围：0-46000μS/cm，无需调整量程；</w:t>
            </w:r>
          </w:p>
          <w:p w14:paraId="3E2FDC89">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3.2.3基线噪声：0.002μS/cm</w:t>
            </w:r>
          </w:p>
          <w:p w14:paraId="28090D47">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3.2.4基线漂移：≤0.008μS.cm</w:t>
            </w:r>
            <w:r>
              <w:rPr>
                <w:rFonts w:hint="eastAsia" w:ascii="宋体" w:hAnsi="宋体" w:eastAsia="宋体" w:cs="宋体"/>
                <w:color w:val="000000" w:themeColor="text1"/>
                <w:szCs w:val="21"/>
                <w:highlight w:val="none"/>
                <w:vertAlign w:val="superscript"/>
                <w14:textFill>
                  <w14:solidFill>
                    <w14:schemeClr w14:val="tx1"/>
                  </w14:solidFill>
                </w14:textFill>
              </w:rPr>
              <w:t>-1</w:t>
            </w:r>
            <w:r>
              <w:rPr>
                <w:rFonts w:hint="eastAsia" w:ascii="宋体" w:hAnsi="宋体" w:eastAsia="宋体" w:cs="宋体"/>
                <w:color w:val="000000" w:themeColor="text1"/>
                <w:szCs w:val="21"/>
                <w:highlight w:val="none"/>
                <w14:textFill>
                  <w14:solidFill>
                    <w14:schemeClr w14:val="tx1"/>
                  </w14:solidFill>
                </w14:textFill>
              </w:rPr>
              <w:t>/30min）</w:t>
            </w:r>
          </w:p>
          <w:p w14:paraId="6A887BA1">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▲3.2.5最小检测浓度：Cl-≤0.001μg/mL  Li+≤0.001μg/mL）  </w:t>
            </w:r>
          </w:p>
          <w:p w14:paraId="357E2CFC">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3.2.6定性重复性：≤1%，定量重复性：≤1%；</w:t>
            </w:r>
          </w:p>
          <w:p w14:paraId="60A9DB4B">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3.2.7电导池体积：≤0.6μL；</w:t>
            </w:r>
          </w:p>
          <w:p w14:paraId="4B884DD7">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3.2.8检测器分辨率</w:t>
            </w:r>
            <w:r>
              <w:rPr>
                <w:rFonts w:hint="eastAsia" w:ascii="宋体" w:hAnsi="宋体" w:eastAsia="宋体" w:cs="宋体"/>
                <w:color w:val="000000" w:themeColor="text1"/>
                <w:kern w:val="0"/>
                <w:szCs w:val="21"/>
                <w:highlight w:val="none"/>
                <w:lang w:bidi="ar"/>
                <w14:textFill>
                  <w14:solidFill>
                    <w14:schemeClr w14:val="tx1"/>
                  </w14:solidFill>
                </w14:textFill>
              </w:rPr>
              <w:t>≤0.0023nS/cm，</w:t>
            </w:r>
            <w:r>
              <w:rPr>
                <w:rFonts w:hint="eastAsia" w:ascii="宋体" w:hAnsi="宋体" w:eastAsia="宋体" w:cs="宋体"/>
                <w:color w:val="000000" w:themeColor="text1"/>
                <w:szCs w:val="21"/>
                <w:highlight w:val="none"/>
                <w14:textFill>
                  <w14:solidFill>
                    <w14:schemeClr w14:val="tx1"/>
                  </w14:solidFill>
                </w14:textFill>
              </w:rPr>
              <w:t>耐受最大压力≥8Mpa；</w:t>
            </w:r>
          </w:p>
          <w:p w14:paraId="6E5E4C52">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3.2.9信号采集频率：信号采集频率可调，并且最大采集频率不低于100Hz。</w:t>
            </w:r>
          </w:p>
          <w:p w14:paraId="39B02CA7">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3.3抑制器</w:t>
            </w:r>
          </w:p>
          <w:p w14:paraId="641E0019">
            <w:pPr>
              <w:widowControl/>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3.3.1使用电解技术在线产生抑制所需的H+或OH-，不需通入酸、碱进行再生；</w:t>
            </w:r>
          </w:p>
          <w:p w14:paraId="7C03A961">
            <w:pPr>
              <w:widowControl/>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■3.3.2并联式再生液流路设计，再生液经抑制器内部管路同时向阴阳电极同时提供再生液；</w:t>
            </w:r>
          </w:p>
          <w:p w14:paraId="57E37DD9">
            <w:pPr>
              <w:widowControl/>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3.3.3高抑制容量：抑制容量200μeq/min(阴离子)，100μeq/min(阳离子）；</w:t>
            </w:r>
          </w:p>
          <w:p w14:paraId="081E1A99">
            <w:pPr>
              <w:widowControl/>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3.3.4耐压能力强，在高达6MPa情况下无泄漏，2MPa下正常运行；</w:t>
            </w:r>
          </w:p>
          <w:p w14:paraId="08242DDA">
            <w:pPr>
              <w:widowControl/>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3.3.5死体积≤50μL，更灵敏的响应信号；</w:t>
            </w:r>
          </w:p>
          <w:p w14:paraId="24383340">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3.4色谱柱</w:t>
            </w:r>
          </w:p>
          <w:p w14:paraId="15403B19">
            <w:pPr>
              <w:widowControl/>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▲3.4.1阴、阳离子色谱柱能够耐受pH 0-14的工作范围，可耐受3000 psi以上压力，可以使用强酸强碱淋洗液；</w:t>
            </w:r>
          </w:p>
          <w:p w14:paraId="73C0C89F">
            <w:pPr>
              <w:widowControl/>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3.4.2柱容量不小于200μeq/根。</w:t>
            </w:r>
          </w:p>
          <w:p w14:paraId="3A62EFCC">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3.5工作站</w:t>
            </w:r>
          </w:p>
          <w:p w14:paraId="150CA9FE">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3.5.</w:t>
            </w:r>
            <w:r>
              <w:rPr>
                <w:rFonts w:hint="eastAsia" w:ascii="宋体" w:hAnsi="宋体" w:eastAsia="宋体" w:cs="宋体"/>
                <w:color w:val="000000" w:themeColor="text1"/>
                <w:szCs w:val="21"/>
                <w:highlight w:val="none"/>
                <w:lang w:val="en-US" w:eastAsia="zh-CN"/>
                <w14:textFill>
                  <w14:solidFill>
                    <w14:schemeClr w14:val="tx1"/>
                  </w14:solidFill>
                </w14:textFill>
              </w:rPr>
              <w:t>1</w:t>
            </w:r>
            <w:r>
              <w:rPr>
                <w:rFonts w:hint="eastAsia" w:ascii="宋体" w:hAnsi="宋体" w:eastAsia="宋体" w:cs="宋体"/>
                <w:color w:val="000000" w:themeColor="text1"/>
                <w:szCs w:val="21"/>
                <w:highlight w:val="none"/>
                <w14:textFill>
                  <w14:solidFill>
                    <w14:schemeClr w14:val="tx1"/>
                  </w14:solidFill>
                </w14:textFill>
              </w:rPr>
              <w:t>色谱工作站软件，中文操作界面。</w:t>
            </w:r>
          </w:p>
          <w:p w14:paraId="00F06301">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3.5.</w:t>
            </w: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eastAsia="宋体" w:cs="宋体"/>
                <w:color w:val="000000" w:themeColor="text1"/>
                <w:szCs w:val="21"/>
                <w:highlight w:val="none"/>
                <w14:textFill>
                  <w14:solidFill>
                    <w14:schemeClr w14:val="tx1"/>
                  </w14:solidFill>
                </w14:textFill>
              </w:rPr>
              <w:t>可对适时分析条件参数和分析结果进行监控，在线监测和采集泵压力变化、温度变化、淋洗液浓度变化、抑制器电流等各部件数据；</w:t>
            </w:r>
          </w:p>
          <w:p w14:paraId="011D4284">
            <w:pPr>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3.6内置柱温箱</w:t>
            </w:r>
          </w:p>
          <w:p w14:paraId="3D7D0A45">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■3.6.</w:t>
            </w:r>
            <w:r>
              <w:rPr>
                <w:rFonts w:hint="eastAsia" w:ascii="宋体" w:hAnsi="宋体" w:eastAsia="宋体" w:cs="宋体"/>
                <w:color w:val="000000" w:themeColor="text1"/>
                <w:szCs w:val="21"/>
                <w:highlight w:val="none"/>
                <w:lang w:val="en-US" w:eastAsia="zh-CN"/>
                <w14:textFill>
                  <w14:solidFill>
                    <w14:schemeClr w14:val="tx1"/>
                  </w14:solidFill>
                </w14:textFill>
              </w:rPr>
              <w:t>1</w:t>
            </w:r>
            <w:r>
              <w:rPr>
                <w:rFonts w:hint="eastAsia" w:ascii="宋体" w:hAnsi="宋体" w:eastAsia="宋体" w:cs="宋体"/>
                <w:color w:val="000000" w:themeColor="text1"/>
                <w:szCs w:val="21"/>
                <w:highlight w:val="none"/>
                <w14:textFill>
                  <w14:solidFill>
                    <w14:schemeClr w14:val="tx1"/>
                  </w14:solidFill>
                </w14:textFill>
              </w:rPr>
              <w:t>温度控制范围：内置柱温箱且可实现控温，环境温度±5-75℃；</w:t>
            </w:r>
          </w:p>
          <w:p w14:paraId="16E7241F">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3.6.</w:t>
            </w: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eastAsia="宋体" w:cs="宋体"/>
                <w:color w:val="000000" w:themeColor="text1"/>
                <w:szCs w:val="21"/>
                <w:highlight w:val="none"/>
                <w14:textFill>
                  <w14:solidFill>
                    <w14:schemeClr w14:val="tx1"/>
                  </w14:solidFill>
                </w14:textFill>
              </w:rPr>
              <w:t>柱温箱温度设定值允许误差：≤±0.1℃；</w:t>
            </w:r>
          </w:p>
          <w:p w14:paraId="3A452792">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3.6.</w:t>
            </w:r>
            <w:r>
              <w:rPr>
                <w:rFonts w:hint="eastAsia" w:ascii="宋体" w:hAnsi="宋体" w:eastAsia="宋体" w:cs="宋体"/>
                <w:color w:val="000000" w:themeColor="text1"/>
                <w:szCs w:val="21"/>
                <w:highlight w:val="none"/>
                <w:lang w:val="en-US" w:eastAsia="zh-CN"/>
                <w14:textFill>
                  <w14:solidFill>
                    <w14:schemeClr w14:val="tx1"/>
                  </w14:solidFill>
                </w14:textFill>
              </w:rPr>
              <w:t>3</w:t>
            </w:r>
            <w:r>
              <w:rPr>
                <w:rFonts w:hint="eastAsia" w:ascii="宋体" w:hAnsi="宋体" w:eastAsia="宋体" w:cs="宋体"/>
                <w:color w:val="000000" w:themeColor="text1"/>
                <w:szCs w:val="21"/>
                <w:highlight w:val="none"/>
                <w14:textFill>
                  <w14:solidFill>
                    <w14:schemeClr w14:val="tx1"/>
                  </w14:solidFill>
                </w14:textFill>
              </w:rPr>
              <w:t>温度稳定性：≤0.1℃/h。</w:t>
            </w:r>
          </w:p>
          <w:p w14:paraId="58874410">
            <w:pPr>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3.7进样器</w:t>
            </w:r>
          </w:p>
          <w:p w14:paraId="5B971A4B">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3.7.1三轴式自动进样器，无需人工值守，可连续完成进样，进样批次一致性高；</w:t>
            </w:r>
          </w:p>
          <w:p w14:paraId="0883EFA1">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▲3.7.2样品位数：</w:t>
            </w:r>
            <w:r>
              <w:rPr>
                <w:rFonts w:hint="default" w:ascii="Arial" w:hAnsi="Arial" w:eastAsia="宋体" w:cs="Arial"/>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120位进样位。</w:t>
            </w:r>
          </w:p>
          <w:p w14:paraId="54F59A70">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3.7.3最大进样量：500μL；</w:t>
            </w:r>
          </w:p>
          <w:p w14:paraId="734C8E01">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3.7.4进样方式：可实现全定量环和部分定量环和微量进样；</w:t>
            </w:r>
          </w:p>
          <w:p w14:paraId="3E8847A1">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3.7.5进样精密度：满环进样：RSD≤0.3%</w:t>
            </w:r>
          </w:p>
          <w:p w14:paraId="4516144B">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■3.7.6 具有自动稀释功能，可以实现样品的自动稀释和标准曲线的自动配置</w:t>
            </w:r>
          </w:p>
        </w:tc>
      </w:tr>
      <w:tr w14:paraId="4E4EB7C6">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31BA0289">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sz w:val="22"/>
                <w:szCs w:val="24"/>
                <w:highlight w:val="none"/>
                <w14:textFill>
                  <w14:solidFill>
                    <w14:schemeClr w14:val="tx1"/>
                  </w14:solidFill>
                </w14:textFill>
              </w:rPr>
              <w:t>8</w:t>
            </w:r>
          </w:p>
        </w:tc>
        <w:tc>
          <w:tcPr>
            <w:tcW w:w="3051" w:type="dxa"/>
            <w:tcBorders>
              <w:top w:val="single" w:color="000000" w:sz="8" w:space="0"/>
              <w:left w:val="single" w:color="000000" w:sz="8" w:space="0"/>
              <w:bottom w:val="single" w:color="000000" w:sz="8" w:space="0"/>
              <w:right w:val="single" w:color="000000" w:sz="8" w:space="0"/>
            </w:tcBorders>
            <w:vAlign w:val="center"/>
          </w:tcPr>
          <w:p w14:paraId="5587FD11">
            <w:pPr>
              <w:widowControl/>
              <w:snapToGrid w:val="0"/>
              <w:jc w:val="left"/>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超纯水机</w:t>
            </w:r>
          </w:p>
        </w:tc>
        <w:tc>
          <w:tcPr>
            <w:tcW w:w="10247" w:type="dxa"/>
            <w:tcBorders>
              <w:top w:val="single" w:color="000000" w:sz="8" w:space="0"/>
              <w:left w:val="single" w:color="000000" w:sz="8" w:space="0"/>
              <w:bottom w:val="single" w:color="000000" w:sz="8" w:space="0"/>
              <w:right w:val="single" w:color="000000" w:sz="8" w:space="0"/>
            </w:tcBorders>
            <w:noWrap/>
            <w:vAlign w:val="center"/>
          </w:tcPr>
          <w:p w14:paraId="7B794C6A">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1.主机配置及配件</w:t>
            </w:r>
          </w:p>
          <w:p w14:paraId="52802059">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（采购数量按招标清单为准，这里只表示每台采购设备应配置的备件或耗材数量）</w:t>
            </w:r>
          </w:p>
          <w:tbl>
            <w:tblPr>
              <w:tblStyle w:val="2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1573"/>
              <w:gridCol w:w="4700"/>
              <w:gridCol w:w="1389"/>
            </w:tblGrid>
            <w:tr w14:paraId="594F0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60" w:type="dxa"/>
                  <w:vAlign w:val="center"/>
                </w:tcPr>
                <w:p w14:paraId="138761FF">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p>
              </w:tc>
              <w:tc>
                <w:tcPr>
                  <w:tcW w:w="1573" w:type="dxa"/>
                  <w:vAlign w:val="center"/>
                </w:tcPr>
                <w:p w14:paraId="0645C7D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名称</w:t>
                  </w:r>
                </w:p>
              </w:tc>
              <w:tc>
                <w:tcPr>
                  <w:tcW w:w="4700" w:type="dxa"/>
                  <w:vAlign w:val="center"/>
                </w:tcPr>
                <w:p w14:paraId="466BC8BA">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说明</w:t>
                  </w:r>
                </w:p>
              </w:tc>
              <w:tc>
                <w:tcPr>
                  <w:tcW w:w="1389" w:type="dxa"/>
                  <w:vAlign w:val="center"/>
                </w:tcPr>
                <w:p w14:paraId="6796B96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数量</w:t>
                  </w:r>
                </w:p>
                <w:p w14:paraId="3CEEA2E9">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（台/套）</w:t>
                  </w:r>
                </w:p>
              </w:tc>
            </w:tr>
            <w:tr w14:paraId="6BDF0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vAlign w:val="center"/>
                </w:tcPr>
                <w:p w14:paraId="71F4DB62">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主机</w:t>
                  </w:r>
                </w:p>
              </w:tc>
              <w:tc>
                <w:tcPr>
                  <w:tcW w:w="1573" w:type="dxa"/>
                  <w:vAlign w:val="center"/>
                </w:tcPr>
                <w:p w14:paraId="6AF0379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超纯水机</w:t>
                  </w:r>
                </w:p>
              </w:tc>
              <w:tc>
                <w:tcPr>
                  <w:tcW w:w="4700" w:type="dxa"/>
                  <w:vAlign w:val="center"/>
                </w:tcPr>
                <w:p w14:paraId="45DEE21F">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标准配置</w:t>
                  </w:r>
                </w:p>
              </w:tc>
              <w:tc>
                <w:tcPr>
                  <w:tcW w:w="1389" w:type="dxa"/>
                  <w:vAlign w:val="center"/>
                </w:tcPr>
                <w:p w14:paraId="5DE4C3CF">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w:t>
                  </w:r>
                </w:p>
              </w:tc>
            </w:tr>
            <w:tr w14:paraId="32279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vMerge w:val="restart"/>
                  <w:vAlign w:val="center"/>
                </w:tcPr>
                <w:p w14:paraId="13AB765E">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配件</w:t>
                  </w:r>
                </w:p>
              </w:tc>
              <w:tc>
                <w:tcPr>
                  <w:tcW w:w="1573" w:type="dxa"/>
                  <w:vAlign w:val="center"/>
                </w:tcPr>
                <w:p w14:paraId="1C7B39D6">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纯化柱</w:t>
                  </w:r>
                </w:p>
              </w:tc>
              <w:tc>
                <w:tcPr>
                  <w:tcW w:w="4700" w:type="dxa"/>
                  <w:vAlign w:val="center"/>
                </w:tcPr>
                <w:p w14:paraId="4B4D4C58">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含PP纯化柱、活性碳纤维PC纯化柱，反渗透柱、超纯化柱等。</w:t>
                  </w:r>
                </w:p>
              </w:tc>
              <w:tc>
                <w:tcPr>
                  <w:tcW w:w="1389" w:type="dxa"/>
                  <w:vAlign w:val="center"/>
                </w:tcPr>
                <w:p w14:paraId="2362B47B">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w:t>
                  </w:r>
                </w:p>
              </w:tc>
            </w:tr>
            <w:tr w14:paraId="6C9AF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vMerge w:val="continue"/>
                  <w:vAlign w:val="center"/>
                </w:tcPr>
                <w:p w14:paraId="269AC96A">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p>
              </w:tc>
              <w:tc>
                <w:tcPr>
                  <w:tcW w:w="1573" w:type="dxa"/>
                  <w:vAlign w:val="center"/>
                </w:tcPr>
                <w:p w14:paraId="34735C3A">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取水手臂</w:t>
                  </w:r>
                </w:p>
              </w:tc>
              <w:tc>
                <w:tcPr>
                  <w:tcW w:w="4700" w:type="dxa"/>
                  <w:vAlign w:val="center"/>
                </w:tcPr>
                <w:p w14:paraId="3299199F">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p>
              </w:tc>
              <w:tc>
                <w:tcPr>
                  <w:tcW w:w="1389" w:type="dxa"/>
                  <w:vAlign w:val="center"/>
                </w:tcPr>
                <w:p w14:paraId="237329DB">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w:t>
                  </w:r>
                </w:p>
              </w:tc>
            </w:tr>
            <w:tr w14:paraId="7771E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vMerge w:val="continue"/>
                  <w:vAlign w:val="center"/>
                </w:tcPr>
                <w:p w14:paraId="5A250501">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p>
              </w:tc>
              <w:tc>
                <w:tcPr>
                  <w:tcW w:w="1573" w:type="dxa"/>
                  <w:vAlign w:val="center"/>
                </w:tcPr>
                <w:p w14:paraId="4CBA0D98">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终端微滤器</w:t>
                  </w:r>
                </w:p>
              </w:tc>
              <w:tc>
                <w:tcPr>
                  <w:tcW w:w="4700" w:type="dxa"/>
                  <w:vAlign w:val="center"/>
                </w:tcPr>
                <w:p w14:paraId="27A40502">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孔径≤0.22μm</w:t>
                  </w:r>
                </w:p>
              </w:tc>
              <w:tc>
                <w:tcPr>
                  <w:tcW w:w="1389" w:type="dxa"/>
                  <w:vAlign w:val="center"/>
                </w:tcPr>
                <w:p w14:paraId="5EDC4B68">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w:t>
                  </w:r>
                </w:p>
              </w:tc>
            </w:tr>
            <w:tr w14:paraId="1A8D8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vMerge w:val="continue"/>
                  <w:vAlign w:val="center"/>
                </w:tcPr>
                <w:p w14:paraId="2D1CE6E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p>
              </w:tc>
              <w:tc>
                <w:tcPr>
                  <w:tcW w:w="1573" w:type="dxa"/>
                  <w:vAlign w:val="center"/>
                </w:tcPr>
                <w:p w14:paraId="489C07BA">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紫外线杀菌装置</w:t>
                  </w:r>
                </w:p>
              </w:tc>
              <w:tc>
                <w:tcPr>
                  <w:tcW w:w="4700" w:type="dxa"/>
                  <w:vAlign w:val="center"/>
                </w:tcPr>
                <w:p w14:paraId="393F929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185/254nm</w:t>
                  </w:r>
                </w:p>
              </w:tc>
              <w:tc>
                <w:tcPr>
                  <w:tcW w:w="1389" w:type="dxa"/>
                  <w:vAlign w:val="center"/>
                </w:tcPr>
                <w:p w14:paraId="2A95A29A">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w:t>
                  </w:r>
                </w:p>
              </w:tc>
            </w:tr>
            <w:tr w14:paraId="3E43F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vMerge w:val="continue"/>
                  <w:vAlign w:val="center"/>
                </w:tcPr>
                <w:p w14:paraId="32215DA8">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p>
              </w:tc>
              <w:tc>
                <w:tcPr>
                  <w:tcW w:w="1573" w:type="dxa"/>
                  <w:vAlign w:val="center"/>
                </w:tcPr>
                <w:p w14:paraId="47BE0439">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无菌水箱</w:t>
                  </w:r>
                </w:p>
              </w:tc>
              <w:tc>
                <w:tcPr>
                  <w:tcW w:w="4700" w:type="dxa"/>
                  <w:vAlign w:val="center"/>
                </w:tcPr>
                <w:p w14:paraId="0FE90C40">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bookmarkStart w:id="107" w:name="OLE_LINK2"/>
                  <w:r>
                    <w:rPr>
                      <w:rFonts w:hint="eastAsia" w:ascii="宋体" w:hAnsi="宋体" w:eastAsia="宋体" w:cs="宋体"/>
                      <w:color w:val="000000" w:themeColor="text1"/>
                      <w:kern w:val="0"/>
                      <w:sz w:val="22"/>
                      <w:szCs w:val="22"/>
                      <w:highlight w:val="none"/>
                      <w:lang w:bidi="ar"/>
                      <w14:textFill>
                        <w14:solidFill>
                          <w14:schemeClr w14:val="tx1"/>
                        </w14:solidFill>
                      </w14:textFill>
                    </w:rPr>
                    <w:t>≥15L，带空气过滤器</w:t>
                  </w:r>
                  <w:bookmarkEnd w:id="107"/>
                  <w:r>
                    <w:rPr>
                      <w:rFonts w:hint="eastAsia" w:ascii="宋体" w:hAnsi="宋体" w:eastAsia="宋体" w:cs="宋体"/>
                      <w:color w:val="000000" w:themeColor="text1"/>
                      <w:kern w:val="0"/>
                      <w:sz w:val="22"/>
                      <w:szCs w:val="22"/>
                      <w:highlight w:val="none"/>
                      <w:lang w:bidi="ar"/>
                      <w14:textFill>
                        <w14:solidFill>
                          <w14:schemeClr w14:val="tx1"/>
                        </w14:solidFill>
                      </w14:textFill>
                    </w:rPr>
                    <w:t>和紫外</w:t>
                  </w:r>
                </w:p>
              </w:tc>
              <w:tc>
                <w:tcPr>
                  <w:tcW w:w="1389" w:type="dxa"/>
                  <w:vAlign w:val="center"/>
                </w:tcPr>
                <w:p w14:paraId="17DACE8E">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w:t>
                  </w:r>
                </w:p>
              </w:tc>
            </w:tr>
            <w:tr w14:paraId="28D59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vMerge w:val="continue"/>
                  <w:vAlign w:val="center"/>
                </w:tcPr>
                <w:p w14:paraId="543CEB68">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p>
              </w:tc>
              <w:tc>
                <w:tcPr>
                  <w:tcW w:w="1573" w:type="dxa"/>
                  <w:vAlign w:val="center"/>
                </w:tcPr>
                <w:p w14:paraId="1AD563D1">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维修（护）工具包</w:t>
                  </w:r>
                </w:p>
              </w:tc>
              <w:tc>
                <w:tcPr>
                  <w:tcW w:w="4700" w:type="dxa"/>
                  <w:vAlign w:val="center"/>
                </w:tcPr>
                <w:p w14:paraId="21FB46A9">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p>
              </w:tc>
              <w:tc>
                <w:tcPr>
                  <w:tcW w:w="1389" w:type="dxa"/>
                  <w:vAlign w:val="center"/>
                </w:tcPr>
                <w:p w14:paraId="7DF5129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w:t>
                  </w:r>
                </w:p>
              </w:tc>
            </w:tr>
          </w:tbl>
          <w:p w14:paraId="48051754">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2.技术指标</w:t>
            </w:r>
          </w:p>
          <w:p w14:paraId="2F98AA30">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■2.1.以城市自来水为水源，配预处理立柱，可同时生产</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纯水</w:t>
            </w:r>
            <w:r>
              <w:rPr>
                <w:rFonts w:hint="eastAsia" w:ascii="宋体" w:hAnsi="宋体" w:eastAsia="宋体" w:cs="宋体"/>
                <w:color w:val="000000" w:themeColor="text1"/>
                <w:kern w:val="0"/>
                <w:sz w:val="22"/>
                <w:szCs w:val="22"/>
                <w:highlight w:val="none"/>
                <w:lang w:bidi="ar"/>
                <w14:textFill>
                  <w14:solidFill>
                    <w14:schemeClr w14:val="tx1"/>
                  </w14:solidFill>
                </w14:textFill>
              </w:rPr>
              <w:t>、超纯水、RO纯水。</w:t>
            </w:r>
          </w:p>
          <w:p w14:paraId="7E3D01D5">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▲2.2.制水量≥15L/h，产水水质：</w:t>
            </w:r>
            <w:r>
              <w:rPr>
                <w:rFonts w:eastAsia="宋体" w:cs="Times New Roman"/>
                <w:color w:val="000000" w:themeColor="text1"/>
                <w:szCs w:val="22"/>
                <w:highlight w:val="none"/>
                <w14:textFill>
                  <w14:solidFill>
                    <w14:schemeClr w14:val="tx1"/>
                  </w14:solidFill>
                </w14:textFill>
              </w:rPr>
              <w:fldChar w:fldCharType="begin"/>
            </w:r>
            <w:r>
              <w:rPr>
                <w:rFonts w:eastAsia="宋体" w:cs="Times New Roman"/>
                <w:color w:val="000000" w:themeColor="text1"/>
                <w:szCs w:val="22"/>
                <w:highlight w:val="none"/>
                <w14:textFill>
                  <w14:solidFill>
                    <w14:schemeClr w14:val="tx1"/>
                  </w14:solidFill>
                </w14:textFill>
              </w:rPr>
              <w:instrText xml:space="preserve"> HYPERLINK "mailto:纯水---电导率1μs/cm*@25℃（在线监测），UP超纯水---电阻率18.25MΩ.cm*@25℃（在线监测）" </w:instrText>
            </w:r>
            <w:r>
              <w:rPr>
                <w:rFonts w:eastAsia="宋体" w:cs="Times New Roman"/>
                <w:color w:val="000000" w:themeColor="text1"/>
                <w:szCs w:val="22"/>
                <w:highlight w:val="none"/>
                <w14:textFill>
                  <w14:solidFill>
                    <w14:schemeClr w14:val="tx1"/>
                  </w14:solidFill>
                </w14:textFill>
              </w:rPr>
              <w:fldChar w:fldCharType="separate"/>
            </w:r>
            <w:r>
              <w:rPr>
                <w:rFonts w:hint="eastAsia" w:ascii="宋体" w:hAnsi="宋体" w:eastAsia="宋体" w:cs="宋体"/>
                <w:color w:val="000000" w:themeColor="text1"/>
                <w:kern w:val="0"/>
                <w:sz w:val="22"/>
                <w:szCs w:val="22"/>
                <w:highlight w:val="none"/>
                <w:lang w:bidi="ar"/>
                <w14:textFill>
                  <w14:solidFill>
                    <w14:schemeClr w14:val="tx1"/>
                  </w14:solidFill>
                </w14:textFill>
              </w:rPr>
              <w:t>纯水电阻率&gt;0.2 MΩ.cm（25℃），吸光度（254nm,1cm光程：≤0.001），微粒及细菌去除率&gt;99%；超纯水</w:t>
            </w:r>
            <w:bookmarkStart w:id="108" w:name="_Hlk190018939"/>
            <w:r>
              <w:rPr>
                <w:rFonts w:hint="eastAsia" w:ascii="宋体" w:hAnsi="宋体" w:eastAsia="宋体" w:cs="宋体"/>
                <w:color w:val="000000" w:themeColor="text1"/>
                <w:kern w:val="0"/>
                <w:sz w:val="22"/>
                <w:szCs w:val="22"/>
                <w:highlight w:val="none"/>
                <w:lang w:bidi="ar"/>
                <w14:textFill>
                  <w14:solidFill>
                    <w14:schemeClr w14:val="tx1"/>
                  </w14:solidFill>
                </w14:textFill>
              </w:rPr>
              <w:t>电阻率</w:t>
            </w:r>
            <w:bookmarkEnd w:id="108"/>
            <w:r>
              <w:rPr>
                <w:rFonts w:hint="eastAsia" w:ascii="宋体" w:hAnsi="宋体" w:eastAsia="宋体" w:cs="宋体"/>
                <w:color w:val="000000" w:themeColor="text1"/>
                <w:kern w:val="0"/>
                <w:sz w:val="22"/>
                <w:szCs w:val="22"/>
                <w:highlight w:val="none"/>
                <w:lang w:bidi="ar"/>
                <w14:textFill>
                  <w14:solidFill>
                    <w14:schemeClr w14:val="tx1"/>
                  </w14:solidFill>
                </w14:textFill>
              </w:rPr>
              <w:t>达到18.2MΩ.cm（25℃），电导率达到0.055μs/cm（25℃）</w:t>
            </w:r>
            <w:r>
              <w:rPr>
                <w:rFonts w:hint="eastAsia" w:ascii="宋体" w:hAnsi="宋体" w:eastAsia="宋体" w:cs="宋体"/>
                <w:color w:val="000000" w:themeColor="text1"/>
                <w:kern w:val="0"/>
                <w:sz w:val="22"/>
                <w:szCs w:val="22"/>
                <w:highlight w:val="none"/>
                <w:lang w:bidi="ar"/>
                <w14:textFill>
                  <w14:solidFill>
                    <w14:schemeClr w14:val="tx1"/>
                  </w14:solidFill>
                </w14:textFill>
              </w:rPr>
              <w:fldChar w:fldCharType="end"/>
            </w:r>
            <w:r>
              <w:rPr>
                <w:rFonts w:hint="eastAsia" w:ascii="宋体" w:hAnsi="宋体" w:eastAsia="宋体" w:cs="宋体"/>
                <w:color w:val="000000" w:themeColor="text1"/>
                <w:kern w:val="0"/>
                <w:sz w:val="22"/>
                <w:szCs w:val="22"/>
                <w:highlight w:val="none"/>
                <w:lang w:bidi="ar"/>
                <w14:textFill>
                  <w14:solidFill>
                    <w14:schemeClr w14:val="tx1"/>
                  </w14:solidFill>
                </w14:textFill>
              </w:rPr>
              <w:t>，微粒&lt;1/mL(&gt;0.2μm)，细菌&lt;0.01CFU/mL。</w:t>
            </w:r>
          </w:p>
          <w:p w14:paraId="069A2938">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2.3.超纯水机可连接到LIMS实验室信息管理系统，具有可导出运行数据的USB接口。</w:t>
            </w:r>
          </w:p>
          <w:p w14:paraId="4F2D9775">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■2.4.取水手臂或主机配有显示屏，可在线监测取水电阻率、水温、流速、取水量等信息，具有常规、定量、即时3种取水模式，出口端装终端微滤器。</w:t>
            </w:r>
          </w:p>
          <w:p w14:paraId="569D8B0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■2.5.无菌水箱，总体积≥30升，带空气过滤器。</w:t>
            </w:r>
          </w:p>
          <w:p w14:paraId="5167EAA8">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2.6.超纯水配185/254双波长紫外灯。</w:t>
            </w:r>
          </w:p>
          <w:p w14:paraId="0541A210">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2.7.彩色触摸屏操作，可任意设置定时、定量取水，具有不少于3年历史数据查询功能，水箱储量、取水量、滤芯和水质状况（温度、电阻率、TOC等）等数据实时显示，具有更换纯化柱、水质异常和漏水报警以及系统自动清洗等维护信息提示功能。</w:t>
            </w:r>
          </w:p>
        </w:tc>
      </w:tr>
      <w:tr w14:paraId="72A2896A">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540A6DF9">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sz w:val="22"/>
                <w:szCs w:val="24"/>
                <w:highlight w:val="none"/>
                <w14:textFill>
                  <w14:solidFill>
                    <w14:schemeClr w14:val="tx1"/>
                  </w14:solidFill>
                </w14:textFill>
              </w:rPr>
              <w:t>9</w:t>
            </w:r>
          </w:p>
        </w:tc>
        <w:tc>
          <w:tcPr>
            <w:tcW w:w="3051" w:type="dxa"/>
            <w:tcBorders>
              <w:top w:val="single" w:color="000000" w:sz="8" w:space="0"/>
              <w:left w:val="single" w:color="000000" w:sz="8" w:space="0"/>
              <w:bottom w:val="single" w:color="000000" w:sz="8" w:space="0"/>
              <w:right w:val="single" w:color="000000" w:sz="8" w:space="0"/>
            </w:tcBorders>
            <w:vAlign w:val="center"/>
          </w:tcPr>
          <w:p w14:paraId="03AF563A">
            <w:pPr>
              <w:widowControl/>
              <w:snapToGrid w:val="0"/>
              <w:jc w:val="left"/>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便携式抽滤装置</w:t>
            </w:r>
          </w:p>
        </w:tc>
        <w:tc>
          <w:tcPr>
            <w:tcW w:w="10247" w:type="dxa"/>
            <w:tcBorders>
              <w:top w:val="single" w:color="000000" w:sz="8" w:space="0"/>
              <w:left w:val="single" w:color="000000" w:sz="8" w:space="0"/>
              <w:bottom w:val="single" w:color="000000" w:sz="8" w:space="0"/>
              <w:right w:val="single" w:color="000000" w:sz="8" w:space="0"/>
            </w:tcBorders>
            <w:noWrap/>
            <w:vAlign w:val="center"/>
          </w:tcPr>
          <w:p w14:paraId="6ADCCEE4">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1.参数及功能要求： </w:t>
            </w:r>
          </w:p>
          <w:p w14:paraId="54A9D942">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■1.1 采用一体化设计方式，整机重量≤5kg，方便携带，便于现场使用。 </w:t>
            </w:r>
          </w:p>
          <w:p w14:paraId="5FAB2D3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1.2 采用快开式抽滤杯，滤膜更换方便;机身开关按钮采用防水设计，通风口配备防沙防尘网，更适合野外作业。 </w:t>
            </w:r>
          </w:p>
          <w:p w14:paraId="6B6F058F">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1.3 机身放置直径100mm 的微孔滤膜。 </w:t>
            </w:r>
          </w:p>
          <w:p w14:paraId="36C58521">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▲1.4 自带大容量锂电池，带过流保护，短路保护，续航时间≥15小时。 </w:t>
            </w:r>
          </w:p>
          <w:p w14:paraId="3A3FBF75">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1.5 电池余量实时液晶显示;设有调节旋钮实现抽滤速度或抽滤负压的无级调节。 </w:t>
            </w:r>
          </w:p>
          <w:p w14:paraId="3158A3FC">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1.6 高性能无刷电机隔膜真空泵带阻水空气过滤器，防水耐酸碱腐蚀，高负压，强吸力，负压大于 65kPa;不需要额外的备压瓶或隔水瓶。</w:t>
            </w:r>
          </w:p>
          <w:p w14:paraId="76FFAFD4">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1.7 集液瓶和样品瓶合二为一，抽滤下一个水样时无需清洗集液瓶;材质符合国家标准及作业指导书要求，不含金属离子。</w:t>
            </w:r>
          </w:p>
          <w:p w14:paraId="0E064ED1">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2.技术参数：</w:t>
            </w:r>
          </w:p>
          <w:p w14:paraId="61795F50">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2.1 采样流量:≥10L/min(空载)。</w:t>
            </w:r>
          </w:p>
          <w:p w14:paraId="213DE112">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2.2 负载能力:≥-65kPa。</w:t>
            </w:r>
          </w:p>
          <w:p w14:paraId="72840D6F">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2.3 电池电量:满足仪器续航时间。</w:t>
            </w:r>
          </w:p>
          <w:p w14:paraId="4584D4E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2.4 滤膜尺寸:直径≥100mm/0.45μm 水系滤膜。</w:t>
            </w:r>
          </w:p>
          <w:p w14:paraId="46B4C612">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3.配置(每套):主机 1 套;集液瓶 3个;0.45μm 水系微孔滤膜5 盒;内置高容量锂电池 1 套;充电器1套；使用说明书和合格证 1 套。</w:t>
            </w:r>
          </w:p>
        </w:tc>
      </w:tr>
      <w:tr w14:paraId="4F2D3C87">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5CD073CE">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sz w:val="22"/>
                <w:szCs w:val="24"/>
                <w:highlight w:val="none"/>
                <w14:textFill>
                  <w14:solidFill>
                    <w14:schemeClr w14:val="tx1"/>
                  </w14:solidFill>
                </w14:textFill>
              </w:rPr>
              <w:t>10</w:t>
            </w:r>
          </w:p>
        </w:tc>
        <w:tc>
          <w:tcPr>
            <w:tcW w:w="3051" w:type="dxa"/>
            <w:tcBorders>
              <w:top w:val="single" w:color="000000" w:sz="8" w:space="0"/>
              <w:left w:val="single" w:color="000000" w:sz="8" w:space="0"/>
              <w:bottom w:val="single" w:color="000000" w:sz="8" w:space="0"/>
              <w:right w:val="single" w:color="000000" w:sz="8" w:space="0"/>
            </w:tcBorders>
            <w:vAlign w:val="center"/>
          </w:tcPr>
          <w:p w14:paraId="0B675FFC">
            <w:pPr>
              <w:widowControl/>
              <w:snapToGrid w:val="0"/>
              <w:jc w:val="left"/>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便携式离心机</w:t>
            </w:r>
          </w:p>
        </w:tc>
        <w:tc>
          <w:tcPr>
            <w:tcW w:w="10247" w:type="dxa"/>
            <w:tcBorders>
              <w:top w:val="single" w:color="000000" w:sz="8" w:space="0"/>
              <w:left w:val="single" w:color="000000" w:sz="8" w:space="0"/>
              <w:bottom w:val="single" w:color="000000" w:sz="8" w:space="0"/>
              <w:right w:val="single" w:color="000000" w:sz="8" w:space="0"/>
            </w:tcBorders>
            <w:noWrap/>
            <w:vAlign w:val="center"/>
          </w:tcPr>
          <w:p w14:paraId="274520DC">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1、体积小巧、拉杆箱一体式设计或配备便携式移动箱、耗电量低、适配</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容量≥</w:t>
            </w:r>
            <w:r>
              <w:rPr>
                <w:rFonts w:hint="eastAsia" w:ascii="宋体" w:hAnsi="宋体" w:eastAsia="宋体" w:cs="宋体"/>
                <w:color w:val="000000" w:themeColor="text1"/>
                <w:kern w:val="0"/>
                <w:sz w:val="22"/>
                <w:szCs w:val="22"/>
                <w:highlight w:val="none"/>
                <w:lang w:bidi="ar"/>
                <w14:textFill>
                  <w14:solidFill>
                    <w14:schemeClr w14:val="tx1"/>
                  </w14:solidFill>
                </w14:textFill>
              </w:rPr>
              <w:t>10000mAh便携式移动电源、便于现场操作。</w:t>
            </w:r>
          </w:p>
          <w:p w14:paraId="23EF1F64">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2、操作简单，一键式操作，免维护。</w:t>
            </w:r>
          </w:p>
          <w:p w14:paraId="7DC1C4FF">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3、独有的腔体设计，整体结构厚实可靠，腔体外设计自动通风循环系统，电路板全部悬挂，具有很好的防潮效果。</w:t>
            </w:r>
          </w:p>
          <w:p w14:paraId="5A5D0128">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4、离心腔腔内与盖子风道形成循环风道系统，使整个腔体、电机等部件保持极好的散热作用，提高整机的稳定性能及高可靠性。</w:t>
            </w:r>
          </w:p>
          <w:p w14:paraId="599F1F9F">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5、仪器用于地表水、地下水、废水的户外现场水质离心处理。</w:t>
            </w:r>
          </w:p>
          <w:p w14:paraId="298D649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▲6、转速0-2500r/min可调或2000r/min，最大容量4*250或≥1000ml</w:t>
            </w:r>
          </w:p>
          <w:p w14:paraId="05B319E3">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7、相对离心力≥980xg</w:t>
            </w:r>
          </w:p>
          <w:p w14:paraId="215CA624">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8、时间设置：1min-99min</w:t>
            </w:r>
          </w:p>
          <w:p w14:paraId="6F323961">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9、转速精度：±20r/min</w:t>
            </w:r>
          </w:p>
          <w:p w14:paraId="766C1228">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■10、能够在野外，没有交流电源的情况下正常工作。</w:t>
            </w:r>
          </w:p>
          <w:p w14:paraId="46F6F452">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11、仪器不需要额外添加任何配件配置，即可开展以上工作并达到以上功能、性能及技术指标要求。</w:t>
            </w:r>
          </w:p>
          <w:p w14:paraId="0846554C">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12、基本配置：主机1台，</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20</w:t>
            </w:r>
            <w:r>
              <w:rPr>
                <w:rFonts w:hint="eastAsia" w:ascii="宋体" w:hAnsi="宋体" w:eastAsia="宋体" w:cs="宋体"/>
                <w:color w:val="000000" w:themeColor="text1"/>
                <w:kern w:val="0"/>
                <w:sz w:val="22"/>
                <w:szCs w:val="22"/>
                <w:highlight w:val="none"/>
                <w:lang w:bidi="ar"/>
                <w14:textFill>
                  <w14:solidFill>
                    <w14:schemeClr w14:val="tx1"/>
                  </w14:solidFill>
                </w14:textFill>
              </w:rPr>
              <w:t>个离心瓶</w:t>
            </w:r>
            <w:r>
              <w:rPr>
                <w:rFonts w:hint="eastAsia" w:ascii="宋体" w:hAnsi="宋体" w:eastAsia="宋体" w:cs="宋体"/>
                <w:color w:val="000000" w:themeColor="text1"/>
                <w:kern w:val="0"/>
                <w:sz w:val="22"/>
                <w:szCs w:val="22"/>
                <w:highlight w:val="none"/>
                <w:lang w:eastAsia="zh-CN" w:bidi="ar"/>
                <w14:textFill>
                  <w14:solidFill>
                    <w14:schemeClr w14:val="tx1"/>
                  </w14:solidFill>
                </w14:textFill>
              </w:rPr>
              <w:t>，</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便携式移动电源</w:t>
            </w:r>
            <w:r>
              <w:rPr>
                <w:rFonts w:hint="eastAsia" w:ascii="宋体" w:hAnsi="宋体" w:eastAsia="宋体" w:cs="宋体"/>
                <w:color w:val="000000" w:themeColor="text1"/>
                <w:kern w:val="0"/>
                <w:sz w:val="22"/>
                <w:szCs w:val="22"/>
                <w:highlight w:val="none"/>
                <w:lang w:bidi="ar"/>
                <w14:textFill>
                  <w14:solidFill>
                    <w14:schemeClr w14:val="tx1"/>
                  </w14:solidFill>
                </w14:textFill>
              </w:rPr>
              <w:t>。</w:t>
            </w:r>
          </w:p>
        </w:tc>
      </w:tr>
      <w:tr w14:paraId="755CD5F5">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09DB49A9">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11</w:t>
            </w:r>
          </w:p>
        </w:tc>
        <w:tc>
          <w:tcPr>
            <w:tcW w:w="3051" w:type="dxa"/>
            <w:tcBorders>
              <w:top w:val="single" w:color="000000" w:sz="8" w:space="0"/>
              <w:left w:val="single" w:color="000000" w:sz="8" w:space="0"/>
              <w:bottom w:val="single" w:color="000000" w:sz="8" w:space="0"/>
              <w:right w:val="single" w:color="000000" w:sz="8" w:space="0"/>
            </w:tcBorders>
            <w:vAlign w:val="center"/>
          </w:tcPr>
          <w:p w14:paraId="7474871D">
            <w:pPr>
              <w:widowControl/>
              <w:snapToGrid w:val="0"/>
              <w:jc w:val="left"/>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红外分光测油仪</w:t>
            </w:r>
          </w:p>
        </w:tc>
        <w:tc>
          <w:tcPr>
            <w:tcW w:w="10247" w:type="dxa"/>
            <w:tcBorders>
              <w:top w:val="single" w:color="000000" w:sz="8" w:space="0"/>
              <w:left w:val="single" w:color="000000" w:sz="8" w:space="0"/>
              <w:bottom w:val="single" w:color="000000" w:sz="8" w:space="0"/>
              <w:right w:val="single" w:color="000000" w:sz="8" w:space="0"/>
            </w:tcBorders>
            <w:noWrap/>
            <w:vAlign w:val="center"/>
          </w:tcPr>
          <w:p w14:paraId="4274E5F6">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1.符合标准</w:t>
            </w:r>
          </w:p>
          <w:p w14:paraId="36C37129">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“HJ 637-2018 水质 石油类和动植物油类的测定 红外分光光度法”</w:t>
            </w:r>
          </w:p>
          <w:p w14:paraId="054C7282">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“HJ 1077-2019 固定污染源废气 油烟和油雾的测定 红外分光光度法”</w:t>
            </w:r>
          </w:p>
          <w:p w14:paraId="26067E6E">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“HJ 1051-2019 土壤 石油类的测定 红外分光光度法”</w:t>
            </w:r>
          </w:p>
          <w:p w14:paraId="2DCC249E">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2.应用领域</w:t>
            </w:r>
          </w:p>
          <w:p w14:paraId="7545299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用工业废水和生活污水中石油类和动植物油类的测定</w:t>
            </w:r>
          </w:p>
          <w:p w14:paraId="5B099A75">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3.技术指标和有关参数性能</w:t>
            </w:r>
          </w:p>
          <w:p w14:paraId="3E4AD14E">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校准方式：仪器既可用标准曲线校准也可使用系数校准；</w:t>
            </w:r>
          </w:p>
          <w:p w14:paraId="6B74DBB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光源系统：光源使用寿命可达5000小时以上。光源使用电调制调解光源技术，防止仪器内部温度过高影响稳定性；</w:t>
            </w:r>
          </w:p>
          <w:p w14:paraId="5D3CCBB9">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方法检出限：当样品体积为500ml，萃取液体积为50ml时，检出限为0.06mg/L；</w:t>
            </w:r>
          </w:p>
          <w:p w14:paraId="6B7AFB9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仪器检出限</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I</w:t>
            </w:r>
            <w:r>
              <w:rPr>
                <w:rFonts w:hint="eastAsia" w:ascii="宋体" w:hAnsi="宋体" w:eastAsia="宋体" w:cs="宋体"/>
                <w:color w:val="000000" w:themeColor="text1"/>
                <w:kern w:val="0"/>
                <w:sz w:val="22"/>
                <w:szCs w:val="22"/>
                <w:highlight w:val="none"/>
                <w:lang w:bidi="ar"/>
                <w14:textFill>
                  <w14:solidFill>
                    <w14:schemeClr w14:val="tx1"/>
                  </w14:solidFill>
                </w14:textFill>
              </w:rPr>
              <w:t>DL≤0.04mg/L(四氯乙烯空白液测定11次的3倍SD)；</w:t>
            </w:r>
          </w:p>
          <w:p w14:paraId="614B1388">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波数准确度及重复性：±0.5cm</w:t>
            </w:r>
            <w:r>
              <w:rPr>
                <w:rFonts w:hint="eastAsia" w:ascii="宋体" w:hAnsi="宋体" w:eastAsia="宋体" w:cs="宋体"/>
                <w:color w:val="000000" w:themeColor="text1"/>
                <w:kern w:val="0"/>
                <w:sz w:val="22"/>
                <w:szCs w:val="22"/>
                <w:highlight w:val="none"/>
                <w:vertAlign w:val="superscript"/>
                <w:lang w:bidi="ar"/>
                <w14:textFill>
                  <w14:solidFill>
                    <w14:schemeClr w14:val="tx1"/>
                  </w14:solidFill>
                </w14:textFill>
              </w:rPr>
              <w:t>-1</w:t>
            </w:r>
            <w:r>
              <w:rPr>
                <w:rFonts w:hint="eastAsia" w:ascii="宋体" w:hAnsi="宋体" w:eastAsia="宋体" w:cs="宋体"/>
                <w:color w:val="000000" w:themeColor="text1"/>
                <w:kern w:val="0"/>
                <w:sz w:val="22"/>
                <w:szCs w:val="22"/>
                <w:highlight w:val="none"/>
                <w:lang w:bidi="ar"/>
                <w14:textFill>
                  <w14:solidFill>
                    <w14:schemeClr w14:val="tx1"/>
                  </w14:solidFill>
                </w14:textFill>
              </w:rPr>
              <w:t>。 采用自动定位校准，30mg/L以上油样自动对2930cm</w:t>
            </w:r>
            <w:r>
              <w:rPr>
                <w:rFonts w:hint="eastAsia" w:ascii="宋体" w:hAnsi="宋体" w:eastAsia="宋体" w:cs="宋体"/>
                <w:color w:val="000000" w:themeColor="text1"/>
                <w:kern w:val="0"/>
                <w:sz w:val="22"/>
                <w:szCs w:val="22"/>
                <w:highlight w:val="none"/>
                <w:vertAlign w:val="superscript"/>
                <w:lang w:bidi="ar"/>
                <w14:textFill>
                  <w14:solidFill>
                    <w14:schemeClr w14:val="tx1"/>
                  </w14:solidFill>
                </w14:textFill>
              </w:rPr>
              <w:t>-1</w:t>
            </w:r>
            <w:r>
              <w:rPr>
                <w:rFonts w:hint="eastAsia" w:ascii="宋体" w:hAnsi="宋体" w:eastAsia="宋体" w:cs="宋体"/>
                <w:color w:val="000000" w:themeColor="text1"/>
                <w:kern w:val="0"/>
                <w:sz w:val="22"/>
                <w:szCs w:val="22"/>
                <w:highlight w:val="none"/>
                <w:lang w:bidi="ar"/>
                <w14:textFill>
                  <w14:solidFill>
                    <w14:schemeClr w14:val="tx1"/>
                  </w14:solidFill>
                </w14:textFill>
              </w:rPr>
              <w:t>、2960cm</w:t>
            </w:r>
            <w:r>
              <w:rPr>
                <w:rFonts w:hint="eastAsia" w:ascii="宋体" w:hAnsi="宋体" w:eastAsia="宋体" w:cs="宋体"/>
                <w:color w:val="000000" w:themeColor="text1"/>
                <w:kern w:val="0"/>
                <w:sz w:val="22"/>
                <w:szCs w:val="22"/>
                <w:highlight w:val="none"/>
                <w:vertAlign w:val="superscript"/>
                <w:lang w:bidi="ar"/>
                <w14:textFill>
                  <w14:solidFill>
                    <w14:schemeClr w14:val="tx1"/>
                  </w14:solidFill>
                </w14:textFill>
              </w:rPr>
              <w:t>-1</w:t>
            </w:r>
            <w:r>
              <w:rPr>
                <w:rFonts w:hint="eastAsia" w:ascii="宋体" w:hAnsi="宋体" w:eastAsia="宋体" w:cs="宋体"/>
                <w:color w:val="000000" w:themeColor="text1"/>
                <w:kern w:val="0"/>
                <w:sz w:val="22"/>
                <w:szCs w:val="22"/>
                <w:highlight w:val="none"/>
                <w:lang w:bidi="ar"/>
                <w14:textFill>
                  <w14:solidFill>
                    <w14:schemeClr w14:val="tx1"/>
                  </w14:solidFill>
                </w14:textFill>
              </w:rPr>
              <w:t>、3030cm</w:t>
            </w:r>
            <w:r>
              <w:rPr>
                <w:rFonts w:hint="eastAsia" w:ascii="宋体" w:hAnsi="宋体" w:eastAsia="宋体" w:cs="宋体"/>
                <w:color w:val="000000" w:themeColor="text1"/>
                <w:kern w:val="0"/>
                <w:sz w:val="22"/>
                <w:szCs w:val="22"/>
                <w:highlight w:val="none"/>
                <w:vertAlign w:val="superscript"/>
                <w:lang w:bidi="ar"/>
                <w14:textFill>
                  <w14:solidFill>
                    <w14:schemeClr w14:val="tx1"/>
                  </w14:solidFill>
                </w14:textFill>
              </w:rPr>
              <w:t>-1</w:t>
            </w:r>
            <w:r>
              <w:rPr>
                <w:rFonts w:hint="eastAsia" w:ascii="宋体" w:hAnsi="宋体" w:eastAsia="宋体" w:cs="宋体"/>
                <w:color w:val="000000" w:themeColor="text1"/>
                <w:kern w:val="0"/>
                <w:sz w:val="22"/>
                <w:szCs w:val="22"/>
                <w:highlight w:val="none"/>
                <w:lang w:bidi="ar"/>
                <w14:textFill>
                  <w14:solidFill>
                    <w14:schemeClr w14:val="tx1"/>
                  </w14:solidFill>
                </w14:textFill>
              </w:rPr>
              <w:t>处校准，消除了人为定位的影响；</w:t>
            </w:r>
          </w:p>
          <w:p w14:paraId="7FBE3000">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■准确度：使用至少1个有证标准物质进行检验，测定结果在证书质控要求范围内;</w:t>
            </w:r>
          </w:p>
          <w:p w14:paraId="7F732C0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校正系数准确度：误差±10%;</w:t>
            </w:r>
          </w:p>
          <w:p w14:paraId="7224BC05">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4.技术参数 </w:t>
            </w:r>
          </w:p>
          <w:p w14:paraId="73AB78FA">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基本测量范围：0.0～800mg/L</w:t>
            </w:r>
          </w:p>
          <w:p w14:paraId="5E3AECA8">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最低检出浓度：0.003mg/L(水样浓度)</w:t>
            </w:r>
          </w:p>
          <w:p w14:paraId="566080D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■线性相关系数r﹥0.999</w:t>
            </w:r>
          </w:p>
          <w:p w14:paraId="1FEB96B6">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波数范围：3400cm</w:t>
            </w:r>
            <w:r>
              <w:rPr>
                <w:rFonts w:hint="eastAsia" w:ascii="宋体" w:hAnsi="宋体" w:eastAsia="宋体" w:cs="宋体"/>
                <w:color w:val="000000" w:themeColor="text1"/>
                <w:kern w:val="0"/>
                <w:sz w:val="22"/>
                <w:szCs w:val="22"/>
                <w:highlight w:val="none"/>
                <w:vertAlign w:val="superscript"/>
                <w:lang w:bidi="ar"/>
                <w14:textFill>
                  <w14:solidFill>
                    <w14:schemeClr w14:val="tx1"/>
                  </w14:solidFill>
                </w14:textFill>
              </w:rPr>
              <w:t>-1</w:t>
            </w:r>
            <w:r>
              <w:rPr>
                <w:rFonts w:hint="eastAsia" w:ascii="宋体" w:hAnsi="宋体" w:eastAsia="宋体" w:cs="宋体"/>
                <w:color w:val="000000" w:themeColor="text1"/>
                <w:kern w:val="0"/>
                <w:sz w:val="22"/>
                <w:szCs w:val="22"/>
                <w:highlight w:val="none"/>
                <w:lang w:bidi="ar"/>
                <w14:textFill>
                  <w14:solidFill>
                    <w14:schemeClr w14:val="tx1"/>
                  </w14:solidFill>
                </w14:textFill>
              </w:rPr>
              <w:t>～2400cm</w:t>
            </w:r>
            <w:r>
              <w:rPr>
                <w:rFonts w:hint="eastAsia" w:ascii="宋体" w:hAnsi="宋体" w:eastAsia="宋体" w:cs="宋体"/>
                <w:color w:val="000000" w:themeColor="text1"/>
                <w:kern w:val="0"/>
                <w:sz w:val="22"/>
                <w:szCs w:val="22"/>
                <w:highlight w:val="none"/>
                <w:vertAlign w:val="superscript"/>
                <w:lang w:bidi="ar"/>
                <w14:textFill>
                  <w14:solidFill>
                    <w14:schemeClr w14:val="tx1"/>
                  </w14:solidFill>
                </w14:textFill>
              </w:rPr>
              <w:t>-1</w:t>
            </w:r>
            <w:r>
              <w:rPr>
                <w:rFonts w:hint="eastAsia" w:ascii="宋体" w:hAnsi="宋体" w:eastAsia="宋体" w:cs="宋体"/>
                <w:color w:val="000000" w:themeColor="text1"/>
                <w:kern w:val="0"/>
                <w:sz w:val="22"/>
                <w:szCs w:val="22"/>
                <w:highlight w:val="none"/>
                <w:lang w:bidi="ar"/>
                <w14:textFill>
                  <w14:solidFill>
                    <w14:schemeClr w14:val="tx1"/>
                  </w14:solidFill>
                </w14:textFill>
              </w:rPr>
              <w:t>（即2941nm～4167nm）</w:t>
            </w:r>
          </w:p>
          <w:p w14:paraId="0BEC5CF4">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波长准确度：±1.0cm</w:t>
            </w:r>
            <w:r>
              <w:rPr>
                <w:rFonts w:hint="eastAsia" w:ascii="宋体" w:hAnsi="宋体" w:eastAsia="宋体" w:cs="宋体"/>
                <w:color w:val="000000" w:themeColor="text1"/>
                <w:kern w:val="0"/>
                <w:sz w:val="22"/>
                <w:szCs w:val="22"/>
                <w:highlight w:val="none"/>
                <w:vertAlign w:val="superscript"/>
                <w:lang w:bidi="ar"/>
                <w14:textFill>
                  <w14:solidFill>
                    <w14:schemeClr w14:val="tx1"/>
                  </w14:solidFill>
                </w14:textFill>
              </w:rPr>
              <w:t>-1</w:t>
            </w:r>
          </w:p>
          <w:p w14:paraId="37D1FE35">
            <w:pPr>
              <w:widowControl/>
              <w:snapToGrid w:val="0"/>
              <w:jc w:val="left"/>
              <w:textAlignment w:val="center"/>
              <w:rPr>
                <w:rFonts w:hint="eastAsia" w:ascii="宋体" w:hAnsi="宋体" w:eastAsia="宋体" w:cs="宋体"/>
                <w:color w:val="000000" w:themeColor="text1"/>
                <w:kern w:val="0"/>
                <w:sz w:val="22"/>
                <w:szCs w:val="22"/>
                <w:highlight w:val="none"/>
                <w:vertAlign w:val="superscript"/>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波数重复性：±0.5cm</w:t>
            </w:r>
            <w:r>
              <w:rPr>
                <w:rFonts w:hint="eastAsia" w:ascii="宋体" w:hAnsi="宋体" w:eastAsia="宋体" w:cs="宋体"/>
                <w:color w:val="000000" w:themeColor="text1"/>
                <w:kern w:val="0"/>
                <w:sz w:val="22"/>
                <w:szCs w:val="22"/>
                <w:highlight w:val="none"/>
                <w:vertAlign w:val="superscript"/>
                <w:lang w:bidi="ar"/>
                <w14:textFill>
                  <w14:solidFill>
                    <w14:schemeClr w14:val="tx1"/>
                  </w14:solidFill>
                </w14:textFill>
              </w:rPr>
              <w:t>-1</w:t>
            </w:r>
          </w:p>
          <w:p w14:paraId="3823082F">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吸光度范围：0.0000～ 2.0000AU（即透过率100～1%T）</w:t>
            </w:r>
          </w:p>
        </w:tc>
      </w:tr>
      <w:tr w14:paraId="6758FFF6">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27828638">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12</w:t>
            </w:r>
          </w:p>
        </w:tc>
        <w:tc>
          <w:tcPr>
            <w:tcW w:w="3051" w:type="dxa"/>
            <w:tcBorders>
              <w:top w:val="single" w:color="000000" w:sz="8" w:space="0"/>
              <w:left w:val="single" w:color="000000" w:sz="8" w:space="0"/>
              <w:bottom w:val="single" w:color="000000" w:sz="8" w:space="0"/>
              <w:right w:val="single" w:color="000000" w:sz="8" w:space="0"/>
            </w:tcBorders>
            <w:vAlign w:val="center"/>
          </w:tcPr>
          <w:p w14:paraId="0B1B3F9F">
            <w:pPr>
              <w:widowControl/>
              <w:snapToGrid w:val="0"/>
              <w:jc w:val="left"/>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多联不锈钢溶液过滤器</w:t>
            </w:r>
          </w:p>
        </w:tc>
        <w:tc>
          <w:tcPr>
            <w:tcW w:w="10247" w:type="dxa"/>
            <w:tcBorders>
              <w:top w:val="single" w:color="000000" w:sz="8" w:space="0"/>
              <w:left w:val="single" w:color="000000" w:sz="8" w:space="0"/>
              <w:bottom w:val="single" w:color="000000" w:sz="8" w:space="0"/>
              <w:right w:val="single" w:color="000000" w:sz="8" w:space="0"/>
            </w:tcBorders>
            <w:noWrap/>
            <w:vAlign w:val="center"/>
          </w:tcPr>
          <w:p w14:paraId="069D2667">
            <w:pPr>
              <w:keepNext/>
              <w:keepLines/>
              <w:tabs>
                <w:tab w:val="left" w:pos="360"/>
              </w:tabs>
              <w:spacing w:line="360" w:lineRule="auto"/>
              <w:outlineLvl w:val="0"/>
              <w:rPr>
                <w:rFonts w:hint="eastAsia" w:ascii="宋体" w:hAnsi="宋体" w:eastAsia="宋体" w:cs="宋体"/>
                <w:b/>
                <w:color w:val="000000" w:themeColor="text1"/>
                <w:kern w:val="44"/>
                <w:szCs w:val="21"/>
                <w:highlight w:val="none"/>
                <w14:textFill>
                  <w14:solidFill>
                    <w14:schemeClr w14:val="tx1"/>
                  </w14:solidFill>
                </w14:textFill>
              </w:rPr>
            </w:pPr>
            <w:bookmarkStart w:id="109" w:name="_Toc20139"/>
            <w:r>
              <w:rPr>
                <w:rFonts w:hint="eastAsia" w:ascii="宋体" w:hAnsi="宋体" w:eastAsia="宋体" w:cs="宋体"/>
                <w:b/>
                <w:color w:val="000000" w:themeColor="text1"/>
                <w:kern w:val="44"/>
                <w:szCs w:val="21"/>
                <w:highlight w:val="none"/>
                <w14:textFill>
                  <w14:solidFill>
                    <w14:schemeClr w14:val="tx1"/>
                  </w14:solidFill>
                </w14:textFill>
              </w:rPr>
              <w:t>1.仪器配置</w:t>
            </w:r>
            <w:bookmarkEnd w:id="109"/>
          </w:p>
          <w:p w14:paraId="7142136E">
            <w:pPr>
              <w:tabs>
                <w:tab w:val="left" w:pos="3000"/>
              </w:tabs>
              <w:spacing w:line="360" w:lineRule="auto"/>
              <w:outlineLvl w:val="3"/>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（采购数量按招标清单为准，这里只表示每台采购设备应配置的备件或耗材数量）</w:t>
            </w:r>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8"/>
              <w:gridCol w:w="4109"/>
              <w:gridCol w:w="1638"/>
              <w:gridCol w:w="1627"/>
            </w:tblGrid>
            <w:tr w14:paraId="5E01C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8" w:type="dxa"/>
                </w:tcPr>
                <w:p w14:paraId="3B37C110">
                  <w:pPr>
                    <w:spacing w:line="360" w:lineRule="auto"/>
                    <w:rPr>
                      <w:rFonts w:hint="eastAsia" w:ascii="宋体" w:hAnsi="宋体" w:eastAsia="宋体" w:cs="宋体"/>
                      <w:color w:val="000000" w:themeColor="text1"/>
                      <w:szCs w:val="21"/>
                      <w:highlight w:val="none"/>
                      <w14:textFill>
                        <w14:solidFill>
                          <w14:schemeClr w14:val="tx1"/>
                        </w14:solidFill>
                      </w14:textFill>
                    </w:rPr>
                  </w:pPr>
                </w:p>
              </w:tc>
              <w:tc>
                <w:tcPr>
                  <w:tcW w:w="4109" w:type="dxa"/>
                </w:tcPr>
                <w:p w14:paraId="77D81BAA">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名称</w:t>
                  </w:r>
                </w:p>
              </w:tc>
              <w:tc>
                <w:tcPr>
                  <w:tcW w:w="1638" w:type="dxa"/>
                </w:tcPr>
                <w:p w14:paraId="7FA06B33">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说明</w:t>
                  </w:r>
                </w:p>
              </w:tc>
              <w:tc>
                <w:tcPr>
                  <w:tcW w:w="1627" w:type="dxa"/>
                </w:tcPr>
                <w:p w14:paraId="7BAC8632">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数量（台/套）</w:t>
                  </w:r>
                </w:p>
              </w:tc>
            </w:tr>
            <w:tr w14:paraId="2157E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8" w:type="dxa"/>
                </w:tcPr>
                <w:p w14:paraId="2EA4E9AE">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主机</w:t>
                  </w:r>
                </w:p>
              </w:tc>
              <w:tc>
                <w:tcPr>
                  <w:tcW w:w="4109" w:type="dxa"/>
                </w:tcPr>
                <w:p w14:paraId="484B07F9">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隔膜真空泵（防腐型&amp;截流瓶）</w:t>
                  </w:r>
                </w:p>
              </w:tc>
              <w:tc>
                <w:tcPr>
                  <w:tcW w:w="1638" w:type="dxa"/>
                </w:tcPr>
                <w:p w14:paraId="2A9EC689">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含电源线等</w:t>
                  </w:r>
                </w:p>
              </w:tc>
              <w:tc>
                <w:tcPr>
                  <w:tcW w:w="1627" w:type="dxa"/>
                </w:tcPr>
                <w:p w14:paraId="725119CE">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w:t>
                  </w:r>
                </w:p>
              </w:tc>
            </w:tr>
            <w:tr w14:paraId="4479F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8" w:type="dxa"/>
                </w:tcPr>
                <w:p w14:paraId="578A5708">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配件</w:t>
                  </w:r>
                </w:p>
              </w:tc>
              <w:tc>
                <w:tcPr>
                  <w:tcW w:w="4109" w:type="dxa"/>
                </w:tcPr>
                <w:p w14:paraId="0E70AE21">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全不锈钢六联过滤器</w:t>
                  </w:r>
                </w:p>
              </w:tc>
              <w:tc>
                <w:tcPr>
                  <w:tcW w:w="1638" w:type="dxa"/>
                </w:tcPr>
                <w:p w14:paraId="41D275EC">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w:t>
                  </w:r>
                </w:p>
              </w:tc>
              <w:tc>
                <w:tcPr>
                  <w:tcW w:w="1627" w:type="dxa"/>
                </w:tcPr>
                <w:p w14:paraId="00B99361">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w:t>
                  </w:r>
                </w:p>
              </w:tc>
            </w:tr>
            <w:tr w14:paraId="27F43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8" w:type="dxa"/>
                </w:tcPr>
                <w:p w14:paraId="3FE7F899">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配件</w:t>
                  </w:r>
                </w:p>
              </w:tc>
              <w:tc>
                <w:tcPr>
                  <w:tcW w:w="4109" w:type="dxa"/>
                </w:tcPr>
                <w:p w14:paraId="03EDFA3A">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≥2L集液瓶</w:t>
                  </w:r>
                </w:p>
              </w:tc>
              <w:tc>
                <w:tcPr>
                  <w:tcW w:w="1638" w:type="dxa"/>
                </w:tcPr>
                <w:p w14:paraId="2E29B134">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w:t>
                  </w:r>
                </w:p>
              </w:tc>
              <w:tc>
                <w:tcPr>
                  <w:tcW w:w="1627" w:type="dxa"/>
                </w:tcPr>
                <w:p w14:paraId="2B3EACDB">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w:t>
                  </w:r>
                </w:p>
              </w:tc>
            </w:tr>
            <w:tr w14:paraId="7E38C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8" w:type="dxa"/>
                </w:tcPr>
                <w:p w14:paraId="054220CA">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配件</w:t>
                  </w:r>
                </w:p>
              </w:tc>
              <w:tc>
                <w:tcPr>
                  <w:tcW w:w="4109" w:type="dxa"/>
                </w:tcPr>
                <w:p w14:paraId="26FC8B6A">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微孔滤膜（Φ47-Φ50， 0.45μm  MCE）</w:t>
                  </w:r>
                </w:p>
              </w:tc>
              <w:tc>
                <w:tcPr>
                  <w:tcW w:w="1638" w:type="dxa"/>
                </w:tcPr>
                <w:p w14:paraId="6BB23419">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与滤杯相匹配</w:t>
                  </w:r>
                </w:p>
              </w:tc>
              <w:tc>
                <w:tcPr>
                  <w:tcW w:w="1627" w:type="dxa"/>
                </w:tcPr>
                <w:p w14:paraId="4CE40366">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500片</w:t>
                  </w:r>
                </w:p>
              </w:tc>
            </w:tr>
          </w:tbl>
          <w:p w14:paraId="1B88C7E8">
            <w:pPr>
              <w:jc w:val="left"/>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2.设备功能及要求</w:t>
            </w:r>
          </w:p>
          <w:p w14:paraId="473B5096">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广泛应用与化学分析、环境检测、水质分析、科学研究等。该产品可同时检测三个或者六个样品，灵敏度高，且操作简单；可根据操作者需要，选择不同材质滤膜，对不同样品进行过滤，如样品中悬浮物，细菌微粒，适合与实验室过滤工作。</w:t>
            </w:r>
          </w:p>
          <w:p w14:paraId="71A87673">
            <w:pPr>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3.技术参数</w:t>
            </w:r>
          </w:p>
          <w:p w14:paraId="4BA3B827">
            <w:pPr>
              <w:numPr>
                <w:ilvl w:val="1"/>
                <w:numId w:val="0"/>
              </w:numPr>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3.1.真空泵：</w:t>
            </w:r>
          </w:p>
          <w:p w14:paraId="21535BC7">
            <w:pPr>
              <w:numPr>
                <w:ilvl w:val="2"/>
                <w:numId w:val="0"/>
              </w:num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▲3.1.1.抽气速度（L/min）：≥60；</w:t>
            </w:r>
          </w:p>
          <w:p w14:paraId="581E1179">
            <w:pPr>
              <w:numPr>
                <w:ilvl w:val="2"/>
                <w:numId w:val="0"/>
              </w:num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3.1.2.极限压力：≥0.08MPa;</w:t>
            </w:r>
          </w:p>
          <w:p w14:paraId="542303C1">
            <w:pPr>
              <w:numPr>
                <w:ilvl w:val="2"/>
                <w:numId w:val="0"/>
              </w:num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3.1.3.电压：220V,50Hz；</w:t>
            </w:r>
          </w:p>
          <w:p w14:paraId="742CB1BB">
            <w:pPr>
              <w:numPr>
                <w:ilvl w:val="2"/>
                <w:numId w:val="0"/>
              </w:num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3.1.4.额定功率：160W；</w:t>
            </w:r>
          </w:p>
          <w:p w14:paraId="2716681B">
            <w:pPr>
              <w:numPr>
                <w:ilvl w:val="2"/>
                <w:numId w:val="0"/>
              </w:num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3.1.5.正压力：≥30psi；</w:t>
            </w:r>
          </w:p>
          <w:p w14:paraId="32DC1AB6">
            <w:pPr>
              <w:numPr>
                <w:ilvl w:val="2"/>
                <w:numId w:val="0"/>
              </w:num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3.1.6.工作环境温度（℃）：7-40；</w:t>
            </w:r>
          </w:p>
          <w:p w14:paraId="631E57B4">
            <w:pPr>
              <w:numPr>
                <w:ilvl w:val="2"/>
                <w:numId w:val="0"/>
              </w:num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3.1.7.泵头数量：2；</w:t>
            </w:r>
          </w:p>
          <w:p w14:paraId="3B418890">
            <w:pPr>
              <w:numPr>
                <w:ilvl w:val="2"/>
                <w:numId w:val="0"/>
              </w:num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3.1.8.泵体温度（℃）：≤55</w:t>
            </w:r>
          </w:p>
          <w:p w14:paraId="1FEA408E">
            <w:pPr>
              <w:numPr>
                <w:ilvl w:val="1"/>
                <w:numId w:val="0"/>
              </w:numPr>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3.2.全不锈钢六连过滤器：</w:t>
            </w:r>
          </w:p>
          <w:p w14:paraId="7521B19D">
            <w:pPr>
              <w:numPr>
                <w:ilvl w:val="2"/>
                <w:numId w:val="0"/>
              </w:num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▲3.2.1.规格：六联；</w:t>
            </w:r>
          </w:p>
          <w:p w14:paraId="44E6F292">
            <w:pPr>
              <w:numPr>
                <w:ilvl w:val="2"/>
                <w:numId w:val="0"/>
              </w:num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3.2.2.滤杯：不锈钢304；</w:t>
            </w:r>
          </w:p>
          <w:p w14:paraId="440E1B69">
            <w:pPr>
              <w:numPr>
                <w:ilvl w:val="2"/>
                <w:numId w:val="0"/>
              </w:num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3.2.3.阀门：不锈钢；</w:t>
            </w:r>
          </w:p>
          <w:p w14:paraId="244D31CB">
            <w:pPr>
              <w:numPr>
                <w:ilvl w:val="2"/>
                <w:numId w:val="0"/>
              </w:num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3.2.4.筛板：不锈钢304（100μm）</w:t>
            </w:r>
          </w:p>
          <w:p w14:paraId="53D3F99D">
            <w:pPr>
              <w:numPr>
                <w:ilvl w:val="2"/>
                <w:numId w:val="0"/>
              </w:num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3.2.5.连接方式：不锈钢胶塞式；</w:t>
            </w:r>
          </w:p>
          <w:p w14:paraId="583B537F">
            <w:pPr>
              <w:numPr>
                <w:ilvl w:val="2"/>
                <w:numId w:val="0"/>
              </w:num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3.2.6.支架：不锈钢304。</w:t>
            </w:r>
          </w:p>
          <w:p w14:paraId="59E6351E">
            <w:pPr>
              <w:numPr>
                <w:ilvl w:val="1"/>
                <w:numId w:val="0"/>
              </w:numPr>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3.3.微孔滤膜</w:t>
            </w:r>
          </w:p>
          <w:p w14:paraId="1078CEB2">
            <w:pPr>
              <w:numPr>
                <w:ilvl w:val="2"/>
                <w:numId w:val="0"/>
              </w:num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3.3.1.滤膜材质：水系膜(标配)（需要其他材质采购时选择）</w:t>
            </w:r>
          </w:p>
          <w:p w14:paraId="6596481D">
            <w:pPr>
              <w:numPr>
                <w:ilvl w:val="2"/>
                <w:numId w:val="0"/>
              </w:num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3.3.2.滤膜孔径： 0.45μm（标配）（需要其他规格采购时选择）</w:t>
            </w:r>
          </w:p>
          <w:p w14:paraId="11C2F39E">
            <w:pPr>
              <w:numPr>
                <w:ilvl w:val="2"/>
                <w:numId w:val="0"/>
              </w:num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3.3.3.滤膜直径：Φ47-Φ50（mm）</w:t>
            </w:r>
          </w:p>
          <w:p w14:paraId="594172F4">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3.4.集液瓶容量：≥2L</w:t>
            </w:r>
          </w:p>
        </w:tc>
      </w:tr>
      <w:tr w14:paraId="6FE32358">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51E37E4D">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13</w:t>
            </w:r>
          </w:p>
        </w:tc>
        <w:tc>
          <w:tcPr>
            <w:tcW w:w="3051" w:type="dxa"/>
            <w:tcBorders>
              <w:top w:val="single" w:color="000000" w:sz="8" w:space="0"/>
              <w:left w:val="single" w:color="000000" w:sz="8" w:space="0"/>
              <w:bottom w:val="single" w:color="000000" w:sz="8" w:space="0"/>
              <w:right w:val="single" w:color="000000" w:sz="8" w:space="0"/>
            </w:tcBorders>
            <w:vAlign w:val="center"/>
          </w:tcPr>
          <w:p w14:paraId="77120063">
            <w:pPr>
              <w:widowControl/>
              <w:snapToGrid w:val="0"/>
              <w:jc w:val="left"/>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实验室污水处理系统</w:t>
            </w:r>
          </w:p>
        </w:tc>
        <w:tc>
          <w:tcPr>
            <w:tcW w:w="10247" w:type="dxa"/>
            <w:tcBorders>
              <w:top w:val="single" w:color="000000" w:sz="8" w:space="0"/>
              <w:left w:val="single" w:color="000000" w:sz="8" w:space="0"/>
              <w:bottom w:val="single" w:color="000000" w:sz="8" w:space="0"/>
              <w:right w:val="single" w:color="000000" w:sz="8" w:space="0"/>
            </w:tcBorders>
            <w:vAlign w:val="center"/>
          </w:tcPr>
          <w:p w14:paraId="3CAA3945">
            <w:pPr>
              <w:tabs>
                <w:tab w:val="left" w:pos="2682"/>
              </w:tabs>
              <w:jc w:val="left"/>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一、技术参数</w:t>
            </w:r>
          </w:p>
          <w:p w14:paraId="64465A92">
            <w:pPr>
              <w:numPr>
                <w:ilvl w:val="0"/>
                <w:numId w:val="2"/>
              </w:numPr>
              <w:ind w:left="0" w:firstLine="0"/>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用途：用于实验室综合废水（包括实验室容器洗涤、仪器清洗及跑冒滴漏等）进行全自动处理，处理达标后自动排入市政排污管道。</w:t>
            </w:r>
          </w:p>
          <w:p w14:paraId="1FE5E778">
            <w:pPr>
              <w:numPr>
                <w:ilvl w:val="0"/>
                <w:numId w:val="2"/>
              </w:numPr>
              <w:ind w:left="0" w:firstLine="0"/>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废水处理系统处理水量：</w:t>
            </w:r>
            <w:r>
              <w:rPr>
                <w:rFonts w:hint="eastAsia" w:ascii="宋体" w:hAnsi="宋体" w:eastAsia="宋体" w:cs="宋体"/>
                <w:b/>
                <w:bCs/>
                <w:color w:val="000000" w:themeColor="text1"/>
                <w:szCs w:val="21"/>
                <w:highlight w:val="none"/>
                <w14:textFill>
                  <w14:solidFill>
                    <w14:schemeClr w14:val="tx1"/>
                  </w14:solidFill>
                </w14:textFill>
              </w:rPr>
              <w:t>≥</w:t>
            </w:r>
            <w:r>
              <w:rPr>
                <w:rFonts w:ascii="Times New Roman" w:hAnsi="Times New Roman" w:eastAsia="宋体" w:cs="Times New Roman"/>
                <w:bCs/>
                <w:color w:val="000000" w:themeColor="text1"/>
                <w:szCs w:val="21"/>
                <w:highlight w:val="none"/>
                <w:u w:val="none"/>
                <w14:textFill>
                  <w14:solidFill>
                    <w14:schemeClr w14:val="tx1"/>
                  </w14:solidFill>
                </w14:textFill>
              </w:rPr>
              <w:t>1吨/天</w:t>
            </w:r>
            <w:r>
              <w:rPr>
                <w:rFonts w:ascii="Times New Roman" w:hAnsi="Times New Roman" w:eastAsia="宋体" w:cs="Times New Roman"/>
                <w:bCs/>
                <w:color w:val="000000" w:themeColor="text1"/>
                <w:szCs w:val="21"/>
                <w:highlight w:val="none"/>
                <w14:textFill>
                  <w14:solidFill>
                    <w14:schemeClr w14:val="tx1"/>
                  </w14:solidFill>
                </w14:textFill>
              </w:rPr>
              <w:t>。</w:t>
            </w:r>
          </w:p>
          <w:p w14:paraId="0FFD5953">
            <w:pPr>
              <w:numPr>
                <w:ilvl w:val="0"/>
                <w:numId w:val="2"/>
              </w:numPr>
              <w:ind w:left="0" w:firstLine="0"/>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控制模式：全自动控制，同时可手动操作。</w:t>
            </w:r>
          </w:p>
          <w:p w14:paraId="6231BA37">
            <w:pPr>
              <w:numPr>
                <w:ilvl w:val="0"/>
                <w:numId w:val="2"/>
              </w:numPr>
              <w:ind w:left="0" w:firstLine="0"/>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处理后的排放标准：符合《污水综合排放标准》【GB8978-1996】中的三级排放标准和《污水排入城镇下水道水质标准》（GB/T31962-2015）标准要求。废水处理后主要污染物的排放标准需满足（PH：6-9、色度≤64倍、悬浮物≤400mg/L、化学需氧量≤500mg/L、5日生化需氧量≤350mg/L、氨氮≤45mg/L、总磷≤8mg/L）指标。提供第三方检测机构出具的对应功能检测报告。</w:t>
            </w:r>
          </w:p>
          <w:p w14:paraId="1B405BB2">
            <w:pPr>
              <w:numPr>
                <w:ilvl w:val="0"/>
                <w:numId w:val="2"/>
              </w:numPr>
              <w:ind w:left="0" w:firstLine="0"/>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▲处理工艺：工艺符合GB/T40378-2021《化学实验室废水处理装置技术规范》相关要求。出具承诺函，确保供货商完全响应此条采购要求。</w:t>
            </w:r>
          </w:p>
          <w:p w14:paraId="01DDCAF9">
            <w:pPr>
              <w:numPr>
                <w:ilvl w:val="0"/>
                <w:numId w:val="2"/>
              </w:numPr>
              <w:ind w:left="0" w:firstLine="0"/>
              <w:rPr>
                <w:rFonts w:ascii="Times New Roman" w:hAnsi="Times New Roman" w:eastAsia="宋体" w:cs="Times New Roman"/>
                <w:bCs/>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r>
              <w:rPr>
                <w:rFonts w:ascii="Times New Roman" w:hAnsi="Times New Roman" w:eastAsia="宋体" w:cs="Times New Roman"/>
                <w:bCs/>
                <w:color w:val="000000" w:themeColor="text1"/>
                <w:szCs w:val="21"/>
                <w:highlight w:val="none"/>
                <w14:textFill>
                  <w14:solidFill>
                    <w14:schemeClr w14:val="tx1"/>
                  </w14:solidFill>
                </w14:textFill>
              </w:rPr>
              <w:t>设备结构材质：设备内所有池体均为耐酸碱耐腐蚀</w:t>
            </w:r>
            <w:r>
              <w:rPr>
                <w:rFonts w:hint="eastAsia" w:ascii="宋体" w:hAnsi="宋体" w:eastAsia="宋体" w:cs="宋体"/>
                <w:b/>
                <w:bCs/>
                <w:color w:val="000000" w:themeColor="text1"/>
                <w:szCs w:val="21"/>
                <w:highlight w:val="none"/>
                <w14:textFill>
                  <w14:solidFill>
                    <w14:schemeClr w14:val="tx1"/>
                  </w14:solidFill>
                </w14:textFill>
              </w:rPr>
              <w:t>≥</w:t>
            </w:r>
            <w:r>
              <w:rPr>
                <w:rFonts w:ascii="Times New Roman" w:hAnsi="Times New Roman" w:eastAsia="宋体" w:cs="Times New Roman"/>
                <w:bCs/>
                <w:color w:val="000000" w:themeColor="text1"/>
                <w:szCs w:val="21"/>
                <w:highlight w:val="none"/>
                <w14:textFill>
                  <w14:solidFill>
                    <w14:schemeClr w14:val="tx1"/>
                  </w14:solidFill>
                </w14:textFill>
              </w:rPr>
              <w:t>10mmPP材质，需按照GB/T1040.2-2022等要求对其进行检测,其物理性能指标需满足拉伸强度大于28Mpa，拉伸弹性模量大于1800Mpa，热变形温度（0.45MPa）大于150℃，维卡耐热（1kg，50℃/h）大于160℃。</w:t>
            </w:r>
          </w:p>
          <w:p w14:paraId="412FF844">
            <w:pPr>
              <w:numPr>
                <w:ilvl w:val="0"/>
                <w:numId w:val="2"/>
              </w:numPr>
              <w:ind w:left="0" w:firstLine="0"/>
              <w:rPr>
                <w:rFonts w:ascii="Times New Roman" w:hAnsi="Times New Roman" w:eastAsia="宋体" w:cs="Times New Roman"/>
                <w:bCs/>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r>
              <w:rPr>
                <w:rFonts w:ascii="Times New Roman" w:hAnsi="Times New Roman" w:eastAsia="宋体" w:cs="Times New Roman"/>
                <w:bCs/>
                <w:color w:val="000000" w:themeColor="text1"/>
                <w:szCs w:val="21"/>
                <w:highlight w:val="none"/>
                <w14:textFill>
                  <w14:solidFill>
                    <w14:schemeClr w14:val="tx1"/>
                  </w14:solidFill>
                </w14:textFill>
              </w:rPr>
              <w:t>配置活性炭吸附过滤单元，</w:t>
            </w:r>
            <w:r>
              <w:rPr>
                <w:rFonts w:hint="eastAsia" w:ascii="Times New Roman" w:hAnsi="Times New Roman" w:eastAsia="宋体" w:cs="Times New Roman"/>
                <w:bCs/>
                <w:color w:val="000000" w:themeColor="text1"/>
                <w:szCs w:val="21"/>
                <w:highlight w:val="none"/>
                <w:lang w:eastAsia="zh-CN"/>
                <w14:textFill>
                  <w14:solidFill>
                    <w14:schemeClr w14:val="tx1"/>
                  </w14:solidFill>
                </w14:textFill>
              </w:rPr>
              <w:t>，</w:t>
            </w:r>
            <w:r>
              <w:rPr>
                <w:rFonts w:ascii="Times New Roman" w:hAnsi="Times New Roman" w:eastAsia="宋体" w:cs="Times New Roman"/>
                <w:bCs/>
                <w:color w:val="000000" w:themeColor="text1"/>
                <w:szCs w:val="21"/>
                <w:highlight w:val="none"/>
                <w14:textFill>
                  <w14:solidFill>
                    <w14:schemeClr w14:val="tx1"/>
                  </w14:solidFill>
                </w14:textFill>
              </w:rPr>
              <w:t>活性炭滤罐材质</w:t>
            </w:r>
            <w:r>
              <w:rPr>
                <w:rFonts w:hint="eastAsia" w:ascii="Times New Roman" w:hAnsi="Times New Roman" w:eastAsia="宋体" w:cs="Times New Roman"/>
                <w:bCs/>
                <w:color w:val="000000" w:themeColor="text1"/>
                <w:szCs w:val="21"/>
                <w:highlight w:val="none"/>
                <w:lang w:val="en-US" w:eastAsia="zh-CN"/>
                <w14:textFill>
                  <w14:solidFill>
                    <w14:schemeClr w14:val="tx1"/>
                  </w14:solidFill>
                </w14:textFill>
              </w:rPr>
              <w:t>为</w:t>
            </w:r>
            <w:r>
              <w:rPr>
                <w:rStyle w:val="26"/>
                <w:rFonts w:ascii="Arial" w:hAnsi="Arial" w:eastAsia="Arial" w:cs="Arial"/>
                <w:i w:val="0"/>
                <w:iCs w:val="0"/>
                <w:caps w:val="0"/>
                <w:color w:val="000000" w:themeColor="text1"/>
                <w:spacing w:val="0"/>
                <w:sz w:val="19"/>
                <w:szCs w:val="19"/>
                <w:highlight w:val="none"/>
                <w:shd w:val="clear" w:fill="FFFFFF"/>
                <w14:textFill>
                  <w14:solidFill>
                    <w14:schemeClr w14:val="tx1"/>
                  </w14:solidFill>
                </w14:textFill>
              </w:rPr>
              <w:t>纤维增强复合材料</w:t>
            </w:r>
            <w:r>
              <w:rPr>
                <w:rStyle w:val="26"/>
                <w:rFonts w:hint="eastAsia" w:ascii="Arial" w:hAnsi="Arial" w:eastAsia="宋体" w:cs="Arial"/>
                <w:i w:val="0"/>
                <w:iCs w:val="0"/>
                <w:caps w:val="0"/>
                <w:color w:val="000000" w:themeColor="text1"/>
                <w:spacing w:val="0"/>
                <w:sz w:val="19"/>
                <w:szCs w:val="19"/>
                <w:highlight w:val="none"/>
                <w:shd w:val="clear" w:fill="FFFFFF"/>
                <w:lang w:eastAsia="zh-CN"/>
                <w14:textFill>
                  <w14:solidFill>
                    <w14:schemeClr w14:val="tx1"/>
                  </w14:solidFill>
                </w14:textFill>
              </w:rPr>
              <w:t>（</w:t>
            </w:r>
            <w:r>
              <w:rPr>
                <w:rFonts w:ascii="Times New Roman" w:hAnsi="Times New Roman" w:eastAsia="宋体" w:cs="Times New Roman"/>
                <w:bCs/>
                <w:color w:val="000000" w:themeColor="text1"/>
                <w:szCs w:val="21"/>
                <w:highlight w:val="none"/>
                <w14:textFill>
                  <w14:solidFill>
                    <w14:schemeClr w14:val="tx1"/>
                  </w14:solidFill>
                </w14:textFill>
              </w:rPr>
              <w:t>FRP</w:t>
            </w:r>
            <w:r>
              <w:rPr>
                <w:rStyle w:val="26"/>
                <w:rFonts w:hint="eastAsia" w:ascii="Arial" w:hAnsi="Arial" w:eastAsia="宋体" w:cs="Arial"/>
                <w:i w:val="0"/>
                <w:iCs w:val="0"/>
                <w:caps w:val="0"/>
                <w:color w:val="000000" w:themeColor="text1"/>
                <w:spacing w:val="0"/>
                <w:sz w:val="19"/>
                <w:szCs w:val="19"/>
                <w:highlight w:val="none"/>
                <w:shd w:val="clear" w:fill="FFFFFF"/>
                <w:lang w:eastAsia="zh-CN"/>
                <w14:textFill>
                  <w14:solidFill>
                    <w14:schemeClr w14:val="tx1"/>
                  </w14:solidFill>
                </w14:textFill>
              </w:rPr>
              <w:t>）</w:t>
            </w:r>
            <w:r>
              <w:rPr>
                <w:rFonts w:ascii="Times New Roman" w:hAnsi="Times New Roman" w:eastAsia="宋体" w:cs="Times New Roman"/>
                <w:bCs/>
                <w:color w:val="000000" w:themeColor="text1"/>
                <w:szCs w:val="21"/>
                <w:highlight w:val="none"/>
                <w14:textFill>
                  <w14:solidFill>
                    <w14:schemeClr w14:val="tx1"/>
                  </w14:solidFill>
                </w14:textFill>
              </w:rPr>
              <w:t>，配套填料、布水器、多功能自动阀头等。活性炭吸附性能需满足碘值大于1000mg/g，灰分小于1.0%，四氯化碳吸附率大于80%，比表面积大于1200m²/g,强度大于90%。提供第三方检测机构出具的对应功能检测报告。</w:t>
            </w:r>
          </w:p>
          <w:p w14:paraId="20EFA62D">
            <w:pPr>
              <w:numPr>
                <w:ilvl w:val="0"/>
                <w:numId w:val="2"/>
              </w:numPr>
              <w:ind w:left="0" w:firstLine="0"/>
              <w:rPr>
                <w:rFonts w:ascii="Times New Roman" w:hAnsi="Times New Roman" w:eastAsia="宋体" w:cs="Times New Roman"/>
                <w:bCs/>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r>
              <w:rPr>
                <w:rFonts w:ascii="Times New Roman" w:hAnsi="Times New Roman" w:eastAsia="宋体" w:cs="Times New Roman"/>
                <w:bCs/>
                <w:color w:val="000000" w:themeColor="text1"/>
                <w:szCs w:val="21"/>
                <w:highlight w:val="none"/>
                <w14:textFill>
                  <w14:solidFill>
                    <w14:schemeClr w14:val="tx1"/>
                  </w14:solidFill>
                </w14:textFill>
              </w:rPr>
              <w:t>配置高压水枪系统，搭配</w:t>
            </w:r>
            <w:r>
              <w:rPr>
                <w:rFonts w:hint="eastAsia" w:ascii="宋体" w:hAnsi="宋体" w:eastAsia="宋体" w:cs="宋体"/>
                <w:b/>
                <w:bCs/>
                <w:color w:val="000000" w:themeColor="text1"/>
                <w:szCs w:val="21"/>
                <w:highlight w:val="none"/>
                <w14:textFill>
                  <w14:solidFill>
                    <w14:schemeClr w14:val="tx1"/>
                  </w14:solidFill>
                </w14:textFill>
              </w:rPr>
              <w:t>≥</w:t>
            </w:r>
            <w:r>
              <w:rPr>
                <w:rFonts w:ascii="Times New Roman" w:hAnsi="Times New Roman" w:eastAsia="宋体" w:cs="Times New Roman"/>
                <w:bCs/>
                <w:color w:val="000000" w:themeColor="text1"/>
                <w:szCs w:val="21"/>
                <w:highlight w:val="none"/>
                <w14:textFill>
                  <w14:solidFill>
                    <w14:schemeClr w14:val="tx1"/>
                  </w14:solidFill>
                </w14:textFill>
              </w:rPr>
              <w:t>2米高压软管和多角度旋转喷头。提供采用此装置的实物照片证明资料。</w:t>
            </w:r>
          </w:p>
          <w:p w14:paraId="7A542F0C">
            <w:pPr>
              <w:numPr>
                <w:ilvl w:val="0"/>
                <w:numId w:val="2"/>
              </w:numPr>
              <w:ind w:left="0" w:firstLine="0"/>
              <w:rPr>
                <w:rFonts w:ascii="Times New Roman" w:hAnsi="Times New Roman" w:eastAsia="宋体" w:cs="Times New Roman"/>
                <w:bCs/>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r>
              <w:rPr>
                <w:rFonts w:ascii="Times New Roman" w:hAnsi="Times New Roman" w:eastAsia="宋体" w:cs="Times New Roman"/>
                <w:bCs/>
                <w:color w:val="000000" w:themeColor="text1"/>
                <w:kern w:val="0"/>
                <w:szCs w:val="21"/>
                <w:highlight w:val="none"/>
                <w:lang w:val="zh-CN"/>
                <w14:textFill>
                  <w14:solidFill>
                    <w14:schemeClr w14:val="tx1"/>
                  </w14:solidFill>
                </w14:textFill>
              </w:rPr>
              <w:t>全自动PLC控制系统，LED全中文操作页面，能够实时显示仪器的运行状态信息，</w:t>
            </w:r>
            <w:r>
              <w:rPr>
                <w:rFonts w:ascii="Times New Roman" w:hAnsi="Times New Roman" w:eastAsia="宋体" w:cs="Times New Roman"/>
                <w:bCs/>
                <w:color w:val="000000" w:themeColor="text1"/>
                <w:szCs w:val="21"/>
                <w:highlight w:val="none"/>
                <w14:textFill>
                  <w14:solidFill>
                    <w14:schemeClr w14:val="tx1"/>
                  </w14:solidFill>
                </w14:textFill>
              </w:rPr>
              <w:t>需具备</w:t>
            </w:r>
            <w:r>
              <w:rPr>
                <w:rFonts w:ascii="Times New Roman" w:hAnsi="Times New Roman" w:eastAsia="宋体" w:cs="Times New Roman"/>
                <w:bCs/>
                <w:color w:val="000000" w:themeColor="text1"/>
                <w:kern w:val="0"/>
                <w:szCs w:val="21"/>
                <w:highlight w:val="none"/>
                <w:lang w:val="zh-CN"/>
                <w14:textFill>
                  <w14:solidFill>
                    <w14:schemeClr w14:val="tx1"/>
                  </w14:solidFill>
                </w14:textFill>
              </w:rPr>
              <w:t>综合废水处理系统控制管理平台软件。</w:t>
            </w:r>
          </w:p>
          <w:p w14:paraId="10173508">
            <w:pPr>
              <w:numPr>
                <w:ilvl w:val="0"/>
                <w:numId w:val="2"/>
              </w:numPr>
              <w:ind w:left="0" w:firstLine="0"/>
              <w:rPr>
                <w:rFonts w:ascii="Times New Roman" w:hAnsi="Times New Roman" w:eastAsia="宋体" w:cs="Times New Roman"/>
                <w:bCs/>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r>
              <w:rPr>
                <w:rFonts w:ascii="Times New Roman" w:hAnsi="Times New Roman" w:eastAsia="宋体" w:cs="Times New Roman"/>
                <w:bCs/>
                <w:color w:val="000000" w:themeColor="text1"/>
                <w:szCs w:val="21"/>
                <w:highlight w:val="none"/>
                <w14:textFill>
                  <w14:solidFill>
                    <w14:schemeClr w14:val="tx1"/>
                  </w14:solidFill>
                </w14:textFill>
              </w:rPr>
              <w:t>噪声：按《工业企业厂界环境噪声排放标准》（GB 12348-2008）对废水设备进行噪音检测，检测点位于废水处理站1m处，环境噪音（昼间）检测结果≤55dB(A)，提供第三方检测机构出具的对应功能检测报告。</w:t>
            </w:r>
          </w:p>
          <w:p w14:paraId="6A6CA731">
            <w:pPr>
              <w:numPr>
                <w:ilvl w:val="0"/>
                <w:numId w:val="2"/>
              </w:numPr>
              <w:ind w:left="0" w:firstLine="0"/>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w:t>
            </w:r>
            <w:r>
              <w:rPr>
                <w:rFonts w:ascii="Times New Roman" w:hAnsi="Times New Roman" w:eastAsia="宋体" w:cs="Times New Roman"/>
                <w:bCs/>
                <w:color w:val="000000" w:themeColor="text1"/>
                <w:kern w:val="0"/>
                <w:szCs w:val="21"/>
                <w:highlight w:val="none"/>
                <w14:textFill>
                  <w14:solidFill>
                    <w14:schemeClr w14:val="tx1"/>
                  </w14:solidFill>
                </w14:textFill>
              </w:rPr>
              <w:t>为确保</w:t>
            </w:r>
            <w:r>
              <w:rPr>
                <w:rFonts w:ascii="Times New Roman" w:hAnsi="Times New Roman" w:eastAsia="宋体" w:cs="Times New Roman"/>
                <w:bCs/>
                <w:color w:val="000000" w:themeColor="text1"/>
                <w:szCs w:val="21"/>
                <w:highlight w:val="none"/>
                <w14:textFill>
                  <w14:solidFill>
                    <w14:schemeClr w14:val="tx1"/>
                  </w14:solidFill>
                </w14:textFill>
              </w:rPr>
              <w:t>实验室废水处理系统整机产品质量，需提供CMA 资质的第三方检测机构出具的实验室废水处理系统整机质检报告，质检内容包含不限于耐腐蚀性能、PP板性能、自动和报警、水质检测等。</w:t>
            </w:r>
          </w:p>
          <w:p w14:paraId="0DBBD8B2">
            <w:pPr>
              <w:widowControl/>
              <w:jc w:val="left"/>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kern w:val="0"/>
                <w:szCs w:val="21"/>
                <w:highlight w:val="none"/>
                <w:lang w:bidi="ar"/>
                <w14:textFill>
                  <w14:solidFill>
                    <w14:schemeClr w14:val="tx1"/>
                  </w14:solidFill>
                </w14:textFill>
              </w:rPr>
              <w:t>1</w:t>
            </w:r>
            <w:r>
              <w:rPr>
                <w:rFonts w:hint="eastAsia" w:ascii="Times New Roman" w:hAnsi="Times New Roman" w:eastAsia="宋体" w:cs="Times New Roman"/>
                <w:bCs/>
                <w:color w:val="000000" w:themeColor="text1"/>
                <w:kern w:val="0"/>
                <w:szCs w:val="21"/>
                <w:highlight w:val="none"/>
                <w:lang w:bidi="ar"/>
                <w14:textFill>
                  <w14:solidFill>
                    <w14:schemeClr w14:val="tx1"/>
                  </w14:solidFill>
                </w14:textFill>
              </w:rPr>
              <w:t>2</w:t>
            </w:r>
            <w:r>
              <w:rPr>
                <w:rFonts w:ascii="Times New Roman" w:hAnsi="Times New Roman" w:eastAsia="宋体" w:cs="Times New Roman"/>
                <w:bCs/>
                <w:color w:val="000000" w:themeColor="text1"/>
                <w:kern w:val="0"/>
                <w:szCs w:val="21"/>
                <w:highlight w:val="none"/>
                <w:lang w:bidi="ar"/>
                <w14:textFill>
                  <w14:solidFill>
                    <w14:schemeClr w14:val="tx1"/>
                  </w14:solidFill>
                </w14:textFill>
              </w:rPr>
              <w:t xml:space="preserve">. </w:t>
            </w:r>
            <w:r>
              <w:rPr>
                <w:rFonts w:ascii="Times New Roman" w:hAnsi="Times New Roman" w:eastAsia="宋体" w:cs="Times New Roman"/>
                <w:bCs/>
                <w:color w:val="000000" w:themeColor="text1"/>
                <w:szCs w:val="21"/>
                <w:highlight w:val="none"/>
                <w14:textFill>
                  <w14:solidFill>
                    <w14:schemeClr w14:val="tx1"/>
                  </w14:solidFill>
                </w14:textFill>
              </w:rPr>
              <w:t>▲</w:t>
            </w:r>
            <w:r>
              <w:rPr>
                <w:rFonts w:ascii="Times New Roman" w:hAnsi="Times New Roman" w:eastAsia="宋体" w:cs="Times New Roman"/>
                <w:bCs/>
                <w:color w:val="000000" w:themeColor="text1"/>
                <w:kern w:val="0"/>
                <w:szCs w:val="21"/>
                <w:highlight w:val="none"/>
                <w:lang w:bidi="ar"/>
                <w14:textFill>
                  <w14:solidFill>
                    <w14:schemeClr w14:val="tx1"/>
                  </w14:solidFill>
                </w14:textFill>
              </w:rPr>
              <w:t>本项目污水产生点位分布于建筑多层区域，废水处理主机设置于建筑底层。投标人需负责各产污单元至处理主机的全套污废水收集输送系统深化设计与施工实施工作。结合建筑现有结构、层高落差、管线走向等现场实际条件，搭建完整、密闭、稳定的污废水输送体系，杜绝废水输送过程中出现介质渗漏、气体返流、异味逸散、介质倒灌等问题。投标人须实地勘查现场工况，完成系统整体深化设计，项目涉及的配套构件、辅材采购、现场开孔封堵、管线敷设、压力及通水校验、系统调试等全部工作，均包含在投标范围内。</w:t>
            </w:r>
          </w:p>
          <w:p w14:paraId="4AC7E59E">
            <w:pPr>
              <w:widowControl/>
              <w:jc w:val="left"/>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kern w:val="0"/>
                <w:szCs w:val="21"/>
                <w:highlight w:val="none"/>
                <w:lang w:bidi="ar"/>
                <w14:textFill>
                  <w14:solidFill>
                    <w14:schemeClr w14:val="tx1"/>
                  </w14:solidFill>
                </w14:textFill>
              </w:rPr>
              <w:t>1</w:t>
            </w:r>
            <w:r>
              <w:rPr>
                <w:rFonts w:hint="eastAsia" w:ascii="Times New Roman" w:hAnsi="Times New Roman" w:eastAsia="宋体" w:cs="Times New Roman"/>
                <w:bCs/>
                <w:color w:val="000000" w:themeColor="text1"/>
                <w:kern w:val="0"/>
                <w:szCs w:val="21"/>
                <w:highlight w:val="none"/>
                <w:lang w:bidi="ar"/>
                <w14:textFill>
                  <w14:solidFill>
                    <w14:schemeClr w14:val="tx1"/>
                  </w14:solidFill>
                </w14:textFill>
              </w:rPr>
              <w:t>3</w:t>
            </w:r>
            <w:r>
              <w:rPr>
                <w:rFonts w:ascii="Times New Roman" w:hAnsi="Times New Roman" w:eastAsia="宋体" w:cs="Times New Roman"/>
                <w:bCs/>
                <w:color w:val="000000" w:themeColor="text1"/>
                <w:kern w:val="0"/>
                <w:szCs w:val="21"/>
                <w:highlight w:val="none"/>
                <w:lang w:bidi="ar"/>
                <w14:textFill>
                  <w14:solidFill>
                    <w14:schemeClr w14:val="tx1"/>
                  </w14:solidFill>
                </w14:textFill>
              </w:rPr>
              <w:t>.</w:t>
            </w:r>
            <w:r>
              <w:rPr>
                <w:rFonts w:ascii="Times New Roman" w:hAnsi="Times New Roman" w:eastAsia="宋体" w:cs="Times New Roman"/>
                <w:bCs/>
                <w:color w:val="000000" w:themeColor="text1"/>
                <w:szCs w:val="21"/>
                <w:highlight w:val="none"/>
                <w14:textFill>
                  <w14:solidFill>
                    <w14:schemeClr w14:val="tx1"/>
                  </w14:solidFill>
                </w14:textFill>
              </w:rPr>
              <w:t>▲</w:t>
            </w:r>
            <w:r>
              <w:rPr>
                <w:rFonts w:ascii="Times New Roman" w:hAnsi="Times New Roman" w:eastAsia="宋体" w:cs="Times New Roman"/>
                <w:bCs/>
                <w:color w:val="000000" w:themeColor="text1"/>
                <w:kern w:val="0"/>
                <w:szCs w:val="21"/>
                <w:highlight w:val="none"/>
                <w:lang w:bidi="ar"/>
                <w14:textFill>
                  <w14:solidFill>
                    <w14:schemeClr w14:val="tx1"/>
                  </w14:solidFill>
                </w14:textFill>
              </w:rPr>
              <w:t>投标人需对建筑底层的设备安置区域进行全方位适配改造，保障场地满足废水处理设备就位、长期运行、日常巡检、检修维护、安全防护等全部使用需求。针对安置区域的地面、围护结构、通行通道、安全防护设施、设备接地、供电、照明等进行专项适配施工，做好场地防渗、防积水、防潮处理，预留充足的设备拆装、运维操作空间。本项工作涉及的土建修整、装饰改造、电气布设及所有配套材料、施工、调试内容，全部纳入本次投标实施范围。</w:t>
            </w:r>
          </w:p>
          <w:p w14:paraId="560647AA">
            <w:pPr>
              <w:widowControl/>
              <w:jc w:val="left"/>
              <w:rPr>
                <w:rFonts w:ascii="Times New Roman" w:hAnsi="Times New Roman" w:eastAsia="宋体" w:cs="Times New Roman"/>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kern w:val="0"/>
                <w:szCs w:val="21"/>
                <w:highlight w:val="none"/>
                <w:lang w:bidi="ar"/>
                <w14:textFill>
                  <w14:solidFill>
                    <w14:schemeClr w14:val="tx1"/>
                  </w14:solidFill>
                </w14:textFill>
              </w:rPr>
              <w:t>1</w:t>
            </w:r>
            <w:r>
              <w:rPr>
                <w:rFonts w:hint="eastAsia" w:ascii="Times New Roman" w:hAnsi="Times New Roman" w:eastAsia="宋体" w:cs="Times New Roman"/>
                <w:bCs/>
                <w:color w:val="000000" w:themeColor="text1"/>
                <w:kern w:val="0"/>
                <w:szCs w:val="21"/>
                <w:highlight w:val="none"/>
                <w:lang w:bidi="ar"/>
                <w14:textFill>
                  <w14:solidFill>
                    <w14:schemeClr w14:val="tx1"/>
                  </w14:solidFill>
                </w14:textFill>
              </w:rPr>
              <w:t>4</w:t>
            </w:r>
            <w:r>
              <w:rPr>
                <w:rFonts w:ascii="Times New Roman" w:hAnsi="Times New Roman" w:eastAsia="宋体" w:cs="Times New Roman"/>
                <w:bCs/>
                <w:color w:val="000000" w:themeColor="text1"/>
                <w:kern w:val="0"/>
                <w:szCs w:val="21"/>
                <w:highlight w:val="none"/>
                <w:lang w:bidi="ar"/>
                <w14:textFill>
                  <w14:solidFill>
                    <w14:schemeClr w14:val="tx1"/>
                  </w14:solidFill>
                </w14:textFill>
              </w:rPr>
              <w:t>.</w:t>
            </w:r>
            <w:r>
              <w:rPr>
                <w:rFonts w:ascii="Times New Roman" w:hAnsi="Times New Roman" w:eastAsia="宋体" w:cs="Times New Roman"/>
                <w:bCs/>
                <w:color w:val="000000" w:themeColor="text1"/>
                <w:szCs w:val="21"/>
                <w:highlight w:val="none"/>
                <w14:textFill>
                  <w14:solidFill>
                    <w14:schemeClr w14:val="tx1"/>
                  </w14:solidFill>
                </w14:textFill>
              </w:rPr>
              <w:t>▲</w:t>
            </w:r>
            <w:r>
              <w:rPr>
                <w:rFonts w:ascii="Times New Roman" w:hAnsi="Times New Roman" w:eastAsia="宋体" w:cs="Times New Roman"/>
                <w:bCs/>
                <w:color w:val="000000" w:themeColor="text1"/>
                <w:kern w:val="0"/>
                <w:szCs w:val="21"/>
                <w:highlight w:val="none"/>
                <w:lang w:bidi="ar"/>
                <w14:textFill>
                  <w14:solidFill>
                    <w14:schemeClr w14:val="tx1"/>
                  </w14:solidFill>
                </w14:textFill>
              </w:rPr>
              <w:t>本项目污水输送管网、设备安置区域改造、空间废气疏导系统为项目不可分割的整体配套内容。投标人需结合现场实际，统一完成全套系统的方案深化、施工实施及整体联动调试，所有相关费用均包含在投标总价内，后续无任何新增费用。</w:t>
            </w:r>
          </w:p>
          <w:p w14:paraId="3EC9C4B8">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p>
        </w:tc>
      </w:tr>
      <w:tr w14:paraId="15E363E8">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45C97CB8">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14</w:t>
            </w:r>
          </w:p>
        </w:tc>
        <w:tc>
          <w:tcPr>
            <w:tcW w:w="3051" w:type="dxa"/>
            <w:tcBorders>
              <w:top w:val="single" w:color="000000" w:sz="8" w:space="0"/>
              <w:left w:val="single" w:color="000000" w:sz="8" w:space="0"/>
              <w:bottom w:val="single" w:color="000000" w:sz="8" w:space="0"/>
              <w:right w:val="single" w:color="000000" w:sz="8" w:space="0"/>
            </w:tcBorders>
            <w:vAlign w:val="center"/>
          </w:tcPr>
          <w:p w14:paraId="09B3CB0A">
            <w:pPr>
              <w:widowControl/>
              <w:snapToGrid w:val="0"/>
              <w:jc w:val="left"/>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ascii="宋体" w:hAnsi="宋体" w:eastAsia="宋体" w:cs="宋体"/>
                <w:color w:val="000000" w:themeColor="text1"/>
                <w:sz w:val="22"/>
                <w:szCs w:val="24"/>
                <w:highlight w:val="none"/>
                <w:lang w:bidi="ar"/>
                <w14:textFill>
                  <w14:solidFill>
                    <w14:schemeClr w14:val="tx1"/>
                  </w14:solidFill>
                </w14:textFill>
              </w:rPr>
              <w:t>全自动流动注射分析仪（包括氰化物、总磷、挥发酚、阴离子表面活性剂4个模块）</w:t>
            </w:r>
          </w:p>
        </w:tc>
        <w:tc>
          <w:tcPr>
            <w:tcW w:w="10247" w:type="dxa"/>
            <w:tcBorders>
              <w:top w:val="single" w:color="000000" w:sz="8" w:space="0"/>
              <w:left w:val="single" w:color="000000" w:sz="8" w:space="0"/>
              <w:bottom w:val="single" w:color="000000" w:sz="8" w:space="0"/>
              <w:right w:val="single" w:color="000000" w:sz="8" w:space="0"/>
            </w:tcBorders>
            <w:vAlign w:val="center"/>
          </w:tcPr>
          <w:p w14:paraId="17A0DFC3">
            <w:pPr>
              <w:pageBreakBefore w:val="0"/>
              <w:widowControl w:val="0"/>
              <w:tabs>
                <w:tab w:val="left" w:pos="828"/>
              </w:tabs>
              <w:kinsoku/>
              <w:overflowPunct/>
              <w:bidi w:val="0"/>
              <w:spacing w:line="360" w:lineRule="auto"/>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1、用途：主要用于地下水、地表水、饮用水、生活污水、工业废水、土壤等样品中阴离子表面活性剂、（总）氰化物、挥发酚、总磷等项目的全自动痕量分析。</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w:t>
            </w:r>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t>2仪器检测项目通道由自动进样装置、蠕动泵、化学分析流路、检测器、内置在线稀释模块构成。</w:t>
            </w:r>
          </w:p>
          <w:p w14:paraId="31F8C681">
            <w:pPr>
              <w:pageBreakBefore w:val="0"/>
              <w:widowControl w:val="0"/>
              <w:tabs>
                <w:tab w:val="left" w:pos="828"/>
              </w:tabs>
              <w:kinsoku/>
              <w:overflowPunct/>
              <w:bidi w:val="0"/>
              <w:spacing w:line="360" w:lineRule="auto"/>
              <w:jc w:val="left"/>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t>3.主要系统技术参数</w:t>
            </w:r>
          </w:p>
          <w:p w14:paraId="0BF8A445">
            <w:pPr>
              <w:pageBreakBefore w:val="0"/>
              <w:widowControl w:val="0"/>
              <w:tabs>
                <w:tab w:val="left" w:pos="828"/>
              </w:tabs>
              <w:kinsoku/>
              <w:overflowPunct/>
              <w:bidi w:val="0"/>
              <w:spacing w:line="360" w:lineRule="auto"/>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3.1、自动进样器具有进样针自动清洗功能。</w:t>
            </w:r>
          </w:p>
          <w:p w14:paraId="1FDBA9A3">
            <w:pPr>
              <w:pageBreakBefore w:val="0"/>
              <w:widowControl w:val="0"/>
              <w:tabs>
                <w:tab w:val="left" w:pos="828"/>
              </w:tabs>
              <w:kinsoku/>
              <w:overflowPunct/>
              <w:bidi w:val="0"/>
              <w:spacing w:line="360" w:lineRule="auto"/>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3.2、蠕动泵</w:t>
            </w:r>
          </w:p>
          <w:p w14:paraId="620A8A90">
            <w:pPr>
              <w:pageBreakBefore w:val="0"/>
              <w:widowControl w:val="0"/>
              <w:tabs>
                <w:tab w:val="left" w:pos="828"/>
              </w:tabs>
              <w:kinsoku/>
              <w:overflowPunct/>
              <w:bidi w:val="0"/>
              <w:spacing w:line="360" w:lineRule="auto"/>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3.2.1蠕动泵：蠕动泵进样方向和化学反应流路方向一致，蠕动泵为无需调节整体压块式设计，该压块可分为2个不同压力的区域，可应对一个测试方法使用不同材质规格泵管时的压力偏差。</w:t>
            </w:r>
          </w:p>
          <w:p w14:paraId="05EB3BC8">
            <w:pPr>
              <w:pageBreakBefore w:val="0"/>
              <w:widowControl w:val="0"/>
              <w:tabs>
                <w:tab w:val="left" w:pos="828"/>
              </w:tabs>
              <w:kinsoku/>
              <w:overflowPunct/>
              <w:bidi w:val="0"/>
              <w:spacing w:line="360" w:lineRule="auto"/>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3.2.2三卡头泵管，通过调换泵管的不同卡头位置来延长泵管的使用寿命，降低运行成本。</w:t>
            </w:r>
          </w:p>
          <w:p w14:paraId="7D846B8D">
            <w:pPr>
              <w:pageBreakBefore w:val="0"/>
              <w:widowControl w:val="0"/>
              <w:tabs>
                <w:tab w:val="left" w:pos="828"/>
              </w:tabs>
              <w:kinsoku/>
              <w:overflowPunct/>
              <w:bidi w:val="0"/>
              <w:spacing w:line="360" w:lineRule="auto"/>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3.3、检测器</w:t>
            </w:r>
          </w:p>
          <w:p w14:paraId="7DAE9095">
            <w:pPr>
              <w:pageBreakBefore w:val="0"/>
              <w:widowControl w:val="0"/>
              <w:tabs>
                <w:tab w:val="left" w:pos="828"/>
              </w:tabs>
              <w:kinsoku/>
              <w:overflowPunct/>
              <w:bidi w:val="0"/>
              <w:spacing w:line="360" w:lineRule="auto"/>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▲3.3.1双光束设计，通过窄带滤光片分光，不同的系列分析仪可以使用相同的滤光片，也可使用不同的滤光片，滤光片更换方便。</w:t>
            </w:r>
          </w:p>
          <w:p w14:paraId="0B7A77F2">
            <w:pPr>
              <w:pageBreakBefore w:val="0"/>
              <w:widowControl w:val="0"/>
              <w:tabs>
                <w:tab w:val="left" w:pos="828"/>
              </w:tabs>
              <w:kinsoku/>
              <w:overflowPunct/>
              <w:bidi w:val="0"/>
              <w:spacing w:line="360" w:lineRule="auto"/>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3.3.2波长范围： 400-1100nm。</w:t>
            </w:r>
          </w:p>
          <w:p w14:paraId="532DB091">
            <w:pPr>
              <w:widowControl/>
              <w:tabs>
                <w:tab w:val="left" w:pos="828"/>
              </w:tabs>
              <w:snapToGrid w:val="0"/>
              <w:spacing w:line="360" w:lineRule="auto"/>
              <w:jc w:val="left"/>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3.3.3流通式比色皿：光程10mm。</w:t>
            </w:r>
          </w:p>
          <w:p w14:paraId="163AC757">
            <w:pPr>
              <w:widowControl/>
              <w:tabs>
                <w:tab w:val="left" w:pos="828"/>
              </w:tabs>
              <w:snapToGrid w:val="0"/>
              <w:spacing w:line="360" w:lineRule="auto"/>
              <w:jc w:val="left"/>
              <w:textAlignment w:val="center"/>
              <w:rPr>
                <w:rFonts w:hint="eastAsia" w:ascii="宋体" w:hAnsi="宋体" w:eastAsia="宋体" w:cs="宋体"/>
                <w:color w:val="000000" w:themeColor="text1"/>
                <w:kern w:val="2"/>
                <w:sz w:val="22"/>
                <w:szCs w:val="22"/>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3.4数据处理工作站(含计算机及打印机)</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操作界面：全中文操作界面, winxp/win7操作系统；</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操作：可同时显示所有同系列分析仪的实时谱图及过往图谱，可一边进行测试一边进行以往数据的查看及处理，能够进行多窗口同时操作。</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控制功能：可对自动进样器，蠕动泵、在线比例稀释、在线前处理等功能模块进行控制，方便设置参数、观察图谱和处理数据；</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4.测试项目技术要求：</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4.1阴离子表面活性剂技术指标</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4.1.1方法原理：亚甲基蓝光度法</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 xml:space="preserve">4.1.2线性范围：0.02-2mg/L </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 xml:space="preserve">4.1.3检出限：≤0.010 mg/L </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4.1.4样品分析频率：≥20样/小时</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4.1.5精密度：≤1%</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4.1.6准确度：误差在±3%以内</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4.2挥发酚技术指标</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4.2.1方法原理：4-氨基安替比林光度法</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 xml:space="preserve">4.2.2线性范围：0.001-0.2mg/L </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 xml:space="preserve">4.2.3检出限：≤0.0003 mg/L </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4.2.4样品分析频率：≥18样/小时</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4.2.5精密度：≤1%</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4.2.6准确度：误差在±3% 以内</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4.3（总）氰化物技术指标</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4.3.1方法原理：异烟酸巴比妥酸光度法</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 xml:space="preserve">4.3.2线性范围：0.001-0.2mg/L </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 xml:space="preserve">4.3.3检出限：≤0.0005mg/L </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4.3.4样品分析频率：≥18样/小时</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4.3.5精密度：≤1%</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4.3.6准确度：误差在±3% 以内</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4.4总磷技术指标</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4.4.1方法原理：在线消解磷钼兰光度法</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4.4.2线性范围：0.01-10mg/L （以P计）</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4.4.3检出限：≤ 0.003mg/L （以P计）</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4.4.4样品分析频率：≥30样/小时</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4.4.5精密度：≤1%</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4.4.6准确度：误差在±3% 以内</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5、检测项目采用方法</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阴离子表面活性剂：亚甲基蓝光度法；</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挥发酚：方法原理：4-氨基安替比林光度法</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（总）氰化物：方法原理：异烟酸巴比妥酸光度法</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总磷：方法原理：在线消解磷钼兰光度法</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6、主要配置:</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6.1全自动阴离子表面活性剂分析一体机1台</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6.2全自动挥发酚分析一体机1台</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6.3全自动（总）氰化物分析一体机1台</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6.4全自动总磷分析一体机1台</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6.5路由器1台</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6.6配件套包（泵管、接头、进样针等）1套</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6.7说明书：软件、仪器及方法说明1套</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6.8电脑、打印机1套（品牌计算机，I5十二代及以上， 内存16G及以上， DVD刻录， 固态硬盘1T以上，≥22液晶专用显示器，中文正版Win10 64位专业系统；A4黑白激光打印机1套。）</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6.9大于70位自动进样器4套</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6.10检测器4套</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6.11主机4套</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6.12超声波清洗器1套</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6.13溶剂过滤器（与阴离子项目配合使用）1套</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6.14真空循环水泵1套</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6.15滤膜200张</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6.13试剂包8套</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7、整机通讯支持TCP/IP协议，支持实验室LIMS系统数据上传对接。</w:t>
            </w:r>
          </w:p>
        </w:tc>
      </w:tr>
      <w:tr w14:paraId="6E0C9DF5">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143F6658">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15</w:t>
            </w:r>
          </w:p>
        </w:tc>
        <w:tc>
          <w:tcPr>
            <w:tcW w:w="3051" w:type="dxa"/>
            <w:tcBorders>
              <w:top w:val="single" w:color="000000" w:sz="8" w:space="0"/>
              <w:left w:val="single" w:color="000000" w:sz="8" w:space="0"/>
              <w:bottom w:val="single" w:color="000000" w:sz="8" w:space="0"/>
              <w:right w:val="single" w:color="000000" w:sz="8" w:space="0"/>
            </w:tcBorders>
            <w:vAlign w:val="center"/>
          </w:tcPr>
          <w:p w14:paraId="5B6D7475">
            <w:pPr>
              <w:widowControl/>
              <w:snapToGrid w:val="0"/>
              <w:jc w:val="left"/>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原子荧光分光光度计</w:t>
            </w:r>
          </w:p>
        </w:tc>
        <w:tc>
          <w:tcPr>
            <w:tcW w:w="10247" w:type="dxa"/>
            <w:tcBorders>
              <w:top w:val="single" w:color="000000" w:sz="8" w:space="0"/>
              <w:left w:val="single" w:color="000000" w:sz="8" w:space="0"/>
              <w:bottom w:val="single" w:color="000000" w:sz="8" w:space="0"/>
              <w:right w:val="single" w:color="000000" w:sz="8" w:space="0"/>
            </w:tcBorders>
            <w:noWrap/>
            <w:vAlign w:val="center"/>
          </w:tcPr>
          <w:p w14:paraId="75FDB8F9">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一、适用领域:</w:t>
            </w:r>
          </w:p>
          <w:p w14:paraId="59421278">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对样品中的As、Sb、Bi、Hg、Se、Te、Sn、Ge、Pb、Zn、Cd、Au等十二种元素的痕量分析及升级后对As、Hg、Se等元素的形态、价态测定</w:t>
            </w:r>
          </w:p>
          <w:p w14:paraId="4EE2820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二、工作条件: </w:t>
            </w:r>
          </w:p>
          <w:p w14:paraId="185C7473">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1、电源: 220V±10%, 50Hz</w:t>
            </w:r>
          </w:p>
          <w:p w14:paraId="034CA4F3">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2、环境温度: 0-45</w:t>
            </w:r>
            <w:r>
              <w:rPr>
                <w:rFonts w:hint="eastAsia" w:ascii="宋体" w:hAnsi="宋体" w:eastAsia="宋体" w:cs="宋体"/>
                <w:color w:val="000000" w:themeColor="text1"/>
                <w:kern w:val="0"/>
                <w:sz w:val="22"/>
                <w:szCs w:val="22"/>
                <w:highlight w:val="none"/>
                <w:lang w:bidi="ar"/>
                <w14:textFill>
                  <w14:solidFill>
                    <w14:schemeClr w14:val="tx1"/>
                  </w14:solidFill>
                </w14:textFill>
              </w:rPr>
              <w:sym w:font="Courier New" w:char="00B0"/>
            </w:r>
            <w:r>
              <w:rPr>
                <w:rFonts w:hint="eastAsia" w:ascii="宋体" w:hAnsi="宋体" w:eastAsia="宋体" w:cs="宋体"/>
                <w:color w:val="000000" w:themeColor="text1"/>
                <w:kern w:val="0"/>
                <w:sz w:val="22"/>
                <w:szCs w:val="22"/>
                <w:highlight w:val="none"/>
                <w:lang w:bidi="ar"/>
                <w14:textFill>
                  <w14:solidFill>
                    <w14:schemeClr w14:val="tx1"/>
                  </w14:solidFill>
                </w14:textFill>
              </w:rPr>
              <w:t>C</w:t>
            </w:r>
          </w:p>
          <w:p w14:paraId="6C8344CE">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3、相对湿度: ≤90%</w:t>
            </w:r>
          </w:p>
          <w:p w14:paraId="159FFBD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三、仪器技术参数要求:</w:t>
            </w:r>
          </w:p>
          <w:p w14:paraId="44EFFABE">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1、检出限(D.L.): As、Pb、Se、Bi、Sn、Sb、Te＜ 0.01µg/L ;Hg、Cd＜0.001µg/L Ge＜0.05µg/L Zn＜1.0µg/L Au＜3.0µg/L</w:t>
            </w:r>
          </w:p>
          <w:p w14:paraId="2A636EC3">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■2、精密度（RSD）＜ 0.6％</w:t>
            </w:r>
          </w:p>
          <w:p w14:paraId="4AA3B938">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3、线性范围: 大于三个数量级</w:t>
            </w:r>
          </w:p>
          <w:p w14:paraId="6DE85784">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▲4、样品测量速度：＜50秒/样（顺序注射泵进样）</w:t>
            </w:r>
          </w:p>
          <w:p w14:paraId="455BB4BC">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四、仪器性能要求:</w:t>
            </w:r>
          </w:p>
          <w:p w14:paraId="1FF5AC7A">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1、检测通道：双通道，可单元素测定，也可双元素同时测定；</w:t>
            </w:r>
          </w:p>
          <w:p w14:paraId="4C1AD984">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2、配有多通道合并光谱化学分析装置和模块，用于超低含量的微量样品的测定</w:t>
            </w:r>
          </w:p>
          <w:p w14:paraId="5CADF138">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3、光源系统：智能高强度空芯阴极灯，内置存储芯片，元素类型自动识别，支持元素灯使用寿命计时；高强度空芯阴极灯采用新式恒流驱动-脉冲调制供电方式，双道自动激发启辉，</w:t>
            </w:r>
          </w:p>
          <w:p w14:paraId="7A9BE3A5">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■4、具有通道间干扰及空芯阴极灯漂移脉动实时自动扣除功能</w:t>
            </w:r>
          </w:p>
          <w:p w14:paraId="61E6AE1C">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5、光学系统：短焦距透镜聚光，新型无色散全密闭避光调光系统</w:t>
            </w:r>
          </w:p>
          <w:p w14:paraId="32454251">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▲6、具有双光束双检测器光源漂移校准功能，光源能量实时校准并动态调节；</w:t>
            </w:r>
          </w:p>
          <w:p w14:paraId="042F8BA4">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7、原子化系统：采用新型高效屏蔽式低温点火石英原子化器，根据所测不同元素设定最佳炉高。</w:t>
            </w:r>
          </w:p>
          <w:p w14:paraId="060DFE4C">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▲8、进样系统：采用全自动顺序注射和全自动蠕动泵双模式进样系统，进样精度达到µl级，重复性精度≤0.05%。</w:t>
            </w:r>
          </w:p>
          <w:p w14:paraId="53DC2943">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■9、采用隔膜阀或电磁阀控制流路。</w:t>
            </w:r>
          </w:p>
          <w:p w14:paraId="778D627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10、自动进样器：</w:t>
            </w:r>
          </w:p>
          <w:p w14:paraId="1445A871">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10.1采用极坐标式不低于180位（单盘）自动进样器，可实现全自动运行和半自动运行测量方式，可自动在线稀释、清洗、单标自动配置标准曲线（R＞0.999）；支持样品快速检测，自动在线补充载流，实现无人值守检测</w:t>
            </w:r>
          </w:p>
          <w:p w14:paraId="7926F224">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■10.2具有进样针自动清洗功能</w:t>
            </w:r>
          </w:p>
          <w:p w14:paraId="25C2EF68">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10.3自动进样器具有进样臂升降调节装置。</w:t>
            </w:r>
          </w:p>
          <w:p w14:paraId="34DE1A13">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11、采用化学气相发生气液分离装置及去除水蒸气的装置；</w:t>
            </w:r>
          </w:p>
          <w:p w14:paraId="601EDF6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12、采用封闭式二级气液分离器，无需液封</w:t>
            </w:r>
          </w:p>
          <w:p w14:paraId="55A5B243">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13、配有的泵阀专用分离富集装置 ，具有既可在线消除硼氢化钾产生的气泡，又可降低试剂间扩散效应的双重功能，提高仪器稳定性</w:t>
            </w:r>
          </w:p>
          <w:p w14:paraId="7C55EC26">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■14、具备气泡间隔技术，有效降低样品在毛细管中的扩散效应；</w:t>
            </w:r>
          </w:p>
          <w:p w14:paraId="147AB4AF">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15、气路系统:开机自检、气路自动控制、自动保护、自动报警，并配有节气装置，节约氩气消耗量，减少仪器运行成本</w:t>
            </w:r>
          </w:p>
          <w:p w14:paraId="4B129042">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6</w:t>
            </w:r>
            <w:r>
              <w:rPr>
                <w:rFonts w:hint="eastAsia" w:ascii="宋体" w:hAnsi="宋体" w:eastAsia="宋体" w:cs="宋体"/>
                <w:color w:val="000000" w:themeColor="text1"/>
                <w:kern w:val="0"/>
                <w:sz w:val="22"/>
                <w:szCs w:val="22"/>
                <w:highlight w:val="none"/>
                <w:lang w:bidi="ar"/>
                <w14:textFill>
                  <w14:solidFill>
                    <w14:schemeClr w14:val="tx1"/>
                  </w14:solidFill>
                </w14:textFill>
              </w:rPr>
              <w:t>、具有外置滤光氩氢火焰实时观察窗，可实时监控火焰状态</w:t>
            </w:r>
          </w:p>
          <w:p w14:paraId="33FB7980">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7</w:t>
            </w:r>
            <w:r>
              <w:rPr>
                <w:rFonts w:hint="eastAsia" w:ascii="宋体" w:hAnsi="宋体" w:eastAsia="宋体" w:cs="宋体"/>
                <w:color w:val="000000" w:themeColor="text1"/>
                <w:kern w:val="0"/>
                <w:sz w:val="22"/>
                <w:szCs w:val="22"/>
                <w:highlight w:val="none"/>
                <w:lang w:bidi="ar"/>
                <w14:textFill>
                  <w14:solidFill>
                    <w14:schemeClr w14:val="tx1"/>
                  </w14:solidFill>
                </w14:textFill>
              </w:rPr>
              <w:t>、配有尾气有害元素捕集阱装置</w:t>
            </w:r>
          </w:p>
          <w:p w14:paraId="2CFE2A43">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五、仪器配置及耗材;</w:t>
            </w:r>
          </w:p>
          <w:p w14:paraId="1086329C">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1、原子荧光光度计主机1台</w:t>
            </w:r>
          </w:p>
          <w:p w14:paraId="1D7E583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2、双光束光源漂移校准系统1套</w:t>
            </w:r>
          </w:p>
          <w:p w14:paraId="27F3295C">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3、全自动顺序注射泵进样系统 1套</w:t>
            </w:r>
          </w:p>
          <w:p w14:paraId="05F28016">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4、全自动蠕动泵进样系统1套</w:t>
            </w:r>
          </w:p>
          <w:p w14:paraId="21AB2560">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5、不低于180位（单盘）自动进样器1台</w:t>
            </w:r>
          </w:p>
          <w:p w14:paraId="71E42A05">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6、化学气相发生气液分离装置1套</w:t>
            </w:r>
          </w:p>
          <w:p w14:paraId="16958282">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7、配有用于形态分析接口1套</w:t>
            </w:r>
          </w:p>
          <w:p w14:paraId="1BE3CA1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8、仪器操作及数据处理软件1套</w:t>
            </w:r>
          </w:p>
          <w:p w14:paraId="7ECCB523">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9、数据输出和输入系统1套（品牌电脑，I5及以上， 内存16G以上， DVD刻录， 硬盘1T以上， 22液晶显示器，中文正版Win10 64位专业系统；激光打印机1套。）</w:t>
            </w:r>
          </w:p>
          <w:p w14:paraId="61C39FC6">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10、高强度空芯阴极灯3支（汞、砷、硒各1支）</w:t>
            </w:r>
          </w:p>
          <w:p w14:paraId="64ED6A61">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11、进样管不少于180个</w:t>
            </w:r>
          </w:p>
          <w:p w14:paraId="5F176A7D">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12、配套通风设备改造1套</w:t>
            </w:r>
          </w:p>
        </w:tc>
      </w:tr>
      <w:tr w14:paraId="08800BA5">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670DCA54">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16</w:t>
            </w:r>
          </w:p>
        </w:tc>
        <w:tc>
          <w:tcPr>
            <w:tcW w:w="3051" w:type="dxa"/>
            <w:tcBorders>
              <w:top w:val="single" w:color="000000" w:sz="8" w:space="0"/>
              <w:left w:val="single" w:color="000000" w:sz="8" w:space="0"/>
              <w:bottom w:val="single" w:color="000000" w:sz="8" w:space="0"/>
              <w:right w:val="single" w:color="000000" w:sz="8" w:space="0"/>
            </w:tcBorders>
            <w:vAlign w:val="center"/>
          </w:tcPr>
          <w:p w14:paraId="3942AB61">
            <w:pPr>
              <w:widowControl/>
              <w:snapToGrid w:val="0"/>
              <w:jc w:val="left"/>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恒温恒湿称量设备（半自动）</w:t>
            </w:r>
          </w:p>
        </w:tc>
        <w:tc>
          <w:tcPr>
            <w:tcW w:w="10247" w:type="dxa"/>
            <w:tcBorders>
              <w:top w:val="single" w:color="000000" w:sz="8" w:space="0"/>
              <w:left w:val="single" w:color="000000" w:sz="8" w:space="0"/>
              <w:bottom w:val="single" w:color="000000" w:sz="8" w:space="0"/>
              <w:right w:val="single" w:color="000000" w:sz="8" w:space="0"/>
            </w:tcBorders>
            <w:vAlign w:val="center"/>
          </w:tcPr>
          <w:p w14:paraId="0AD51EF1">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一、总体要求</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1.恒温恒湿系统适用于手动称量低浓度采样头、采样滤膜及3#滤筒。可对处理对象进行恒温恒湿平衡，并进行后续的手动称重，整个过程都在封闭洁净环境下完成，能有效防止环境微尘的污染。</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2.满足标准</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《HJ 618 环境空气PM10和PM2.5的测定重量法》</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《HJ 656环境空气颗粒物(PM2.5)手工监测方法(重量法)技术规范》</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《HJ 836-2017固定污染源废气低浓度颗粒物的测定(重量法)》</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《JJ G 1036电子天平》</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《GB/T 10586湿热试验箱技术条件》</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《JJF1101环境试验设备温度、湿度校准规范》</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二、性能指标1.样品储存</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1.1样品批处理能力:</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47mm滤膜单次批处理能力:80张(可扩容为160张)</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90mm滤膜单次批处理能力:30张(可扩容为60张)</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低浓度采样头单次批处理能力:24个(可扩容为48个)</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3#滤筒单次批处理能力:24个(可扩容为48个)</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▲1.2 样品储存装置:旋转式圆柱形独立储存架，每个样品有独立储位:</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▲1.3 滤膜上下间隔:≥3.0cm，保证24小时湿度完全平衡</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2.样品兼容性</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2.1.适应样品规格:47mm滤膜、90mm滤膜、低浓度采样头、3#滤筒</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2.2.滤膜适用性:任意品牌、任意材质</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3.天平设计</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3.1 天平防震设计</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▲3.1.1.基础防震等级要求:四级</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3.1.2天平支撑:独立于系统操作平台，孤岛式设计免除外界震动干扰</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3.1.3系统去耦功能:天平支撑配有底部50kg*配重稳固</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3.2天平规格</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▲3.2十万分之一半微量天平</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1)量程(g):0~50g</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2)可读性(mg):0.01</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3)可重复性(mg):≤0.02</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4)线性(mg):0.05</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5)典型稳定时间(S):6s</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3.3天平型号和品牌可定制化</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4.静电消除</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4.4.1消除方式:离子风机除静电方式，不使用放射性物质</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4.2完全去静电时间:≤20秒</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▲5.新风系统</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5.1空气高效净化装置，舱内空气洁净度达到IS0 14644 CLEAN RO0M CLASS等级6级，舱室全方位采用H14高等级HEPA高效过滤网，更换方便</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5.2气流控制≤0.2m/s</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5.3自带空气高效过滤器压差计，便于提醒客户压差过大时更换空气过滤器。</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6.性能扩展</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6.1框架外观采用铝型材框架，型材无缝连接</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6.</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2</w:t>
            </w:r>
            <w:r>
              <w:rPr>
                <w:rFonts w:hint="eastAsia" w:ascii="宋体" w:hAnsi="宋体" w:eastAsia="宋体" w:cs="宋体"/>
                <w:color w:val="000000" w:themeColor="text1"/>
                <w:kern w:val="0"/>
                <w:sz w:val="22"/>
                <w:szCs w:val="22"/>
                <w:highlight w:val="none"/>
                <w:lang w:bidi="ar"/>
                <w14:textFill>
                  <w14:solidFill>
                    <w14:schemeClr w14:val="tx1"/>
                  </w14:solidFill>
                </w14:textFill>
              </w:rPr>
              <w:t>带用户软件，可实时显示舱室温湿度、天平称量值、RFID等相关数据，并自动记录稳定的天平称量值以及称量时的温湿度和大气压值等重要数据。</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6.</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3</w:t>
            </w:r>
            <w:r>
              <w:rPr>
                <w:rFonts w:hint="eastAsia" w:ascii="宋体" w:hAnsi="宋体" w:eastAsia="宋体" w:cs="宋体"/>
                <w:color w:val="000000" w:themeColor="text1"/>
                <w:kern w:val="0"/>
                <w:sz w:val="22"/>
                <w:szCs w:val="22"/>
                <w:highlight w:val="none"/>
                <w:lang w:bidi="ar"/>
                <w14:textFill>
                  <w14:solidFill>
                    <w14:schemeClr w14:val="tx1"/>
                  </w14:solidFill>
                </w14:textFill>
              </w:rPr>
              <w:t>预留软硬件接口，可升级为全自动称重系统</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三、技术要求</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1.工作舱环境平衡系统</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1</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.1</w:t>
            </w: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 设备配有两个手动操作口，恒温恒湿平衡及称量过程在密闭的洁净环境下完成，可以有效防止外界环境污染；</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1.2温度控制范围:15°C-30°C，分辨率士0.1°C:</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■1.3样品平衡及称量全程序温度变化范围≤土0.5°C;</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1.4工作舱相对湿度控制范围:40%RH-60 %RH，分辨率土0.1%；</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■1.5样品平衡及称量全程序湿度变化范围≤土5%RH</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2</w:t>
            </w:r>
            <w:r>
              <w:rPr>
                <w:rFonts w:hint="eastAsia" w:ascii="宋体" w:hAnsi="宋体" w:eastAsia="宋体" w:cs="宋体"/>
                <w:color w:val="000000" w:themeColor="text1"/>
                <w:kern w:val="0"/>
                <w:sz w:val="22"/>
                <w:szCs w:val="22"/>
                <w:highlight w:val="none"/>
                <w:lang w:bidi="ar"/>
                <w14:textFill>
                  <w14:solidFill>
                    <w14:schemeClr w14:val="tx1"/>
                  </w14:solidFill>
                </w14:textFill>
              </w:rPr>
              <w:t>.工作条件及整机要求</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2</w:t>
            </w:r>
            <w:r>
              <w:rPr>
                <w:rFonts w:hint="eastAsia" w:ascii="宋体" w:hAnsi="宋体" w:eastAsia="宋体" w:cs="宋体"/>
                <w:color w:val="000000" w:themeColor="text1"/>
                <w:kern w:val="0"/>
                <w:sz w:val="22"/>
                <w:szCs w:val="22"/>
                <w:highlight w:val="none"/>
                <w:lang w:bidi="ar"/>
                <w14:textFill>
                  <w14:solidFill>
                    <w14:schemeClr w14:val="tx1"/>
                  </w14:solidFill>
                </w14:textFill>
              </w:rPr>
              <w:t>.1稳定工作环境:15°C~28°C，30-60 %RH;</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2</w:t>
            </w:r>
            <w:r>
              <w:rPr>
                <w:rFonts w:hint="eastAsia" w:ascii="宋体" w:hAnsi="宋体" w:eastAsia="宋体" w:cs="宋体"/>
                <w:color w:val="000000" w:themeColor="text1"/>
                <w:kern w:val="0"/>
                <w:sz w:val="22"/>
                <w:szCs w:val="22"/>
                <w:highlight w:val="none"/>
                <w:lang w:bidi="ar"/>
                <w14:textFill>
                  <w14:solidFill>
                    <w14:schemeClr w14:val="tx1"/>
                  </w14:solidFill>
                </w14:textFill>
              </w:rPr>
              <w:t>.2整机重量:整机重量≤500kg</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2</w:t>
            </w:r>
            <w:r>
              <w:rPr>
                <w:rFonts w:hint="eastAsia" w:ascii="宋体" w:hAnsi="宋体" w:eastAsia="宋体" w:cs="宋体"/>
                <w:color w:val="000000" w:themeColor="text1"/>
                <w:kern w:val="0"/>
                <w:sz w:val="22"/>
                <w:szCs w:val="22"/>
                <w:highlight w:val="none"/>
                <w:lang w:bidi="ar"/>
                <w14:textFill>
                  <w14:solidFill>
                    <w14:schemeClr w14:val="tx1"/>
                  </w14:solidFill>
                </w14:textFill>
              </w:rPr>
              <w:t>.3 电源:220V，50Hz</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2</w:t>
            </w:r>
            <w:r>
              <w:rPr>
                <w:rFonts w:hint="eastAsia" w:ascii="宋体" w:hAnsi="宋体" w:eastAsia="宋体" w:cs="宋体"/>
                <w:color w:val="000000" w:themeColor="text1"/>
                <w:kern w:val="0"/>
                <w:sz w:val="22"/>
                <w:szCs w:val="22"/>
                <w:highlight w:val="none"/>
                <w:lang w:bidi="ar"/>
                <w14:textFill>
                  <w14:solidFill>
                    <w14:schemeClr w14:val="tx1"/>
                  </w14:solidFill>
                </w14:textFill>
              </w:rPr>
              <w:t>.4功耗:整机≤3000VA</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四、实验认证/证书</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1.天平防震等级实验认证证书</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2.配备计量院标定过的砝码100mg/200mg证书</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3.温湿度检定/校准证书</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附件:</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描述数量备注</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恒温恒湿平衡系统一体式机柜1</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十万分之一天平1</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高效空气过滤装置1</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高精度温湿度传感器1</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高效去除静电装置1</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RFID滤膜夹(47mm)80</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滤膜塔47mm10层1</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空调系统1</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天平支撑配置单元1</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仪器使用说明书1</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工控机1</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低浓度采样头样品塔3层1 </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滤膜塔90mm6层1</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RFID滤膜夹(48mm)蓝色滤膜夹24</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RFID滤膜托(90mm)30</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3号滤筒支架 24</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砝码一组(100mg+200mg)1</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测静电装置1</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大气压传感器1</w:t>
            </w:r>
          </w:p>
        </w:tc>
      </w:tr>
      <w:tr w14:paraId="535A1BF5">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4033E19C">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17</w:t>
            </w:r>
          </w:p>
        </w:tc>
        <w:tc>
          <w:tcPr>
            <w:tcW w:w="3051" w:type="dxa"/>
            <w:tcBorders>
              <w:top w:val="single" w:color="000000" w:sz="8" w:space="0"/>
              <w:left w:val="single" w:color="000000" w:sz="8" w:space="0"/>
              <w:bottom w:val="single" w:color="000000" w:sz="8" w:space="0"/>
              <w:right w:val="single" w:color="000000" w:sz="8" w:space="0"/>
            </w:tcBorders>
            <w:vAlign w:val="center"/>
          </w:tcPr>
          <w:p w14:paraId="6F65C734">
            <w:pPr>
              <w:widowControl/>
              <w:snapToGrid w:val="0"/>
              <w:jc w:val="left"/>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原子吸收光谱仪</w:t>
            </w:r>
          </w:p>
        </w:tc>
        <w:tc>
          <w:tcPr>
            <w:tcW w:w="10247" w:type="dxa"/>
            <w:tcBorders>
              <w:top w:val="single" w:color="000000" w:sz="8" w:space="0"/>
              <w:left w:val="single" w:color="000000" w:sz="8" w:space="0"/>
              <w:bottom w:val="single" w:color="000000" w:sz="8" w:space="0"/>
              <w:right w:val="single" w:color="000000" w:sz="8" w:space="0"/>
            </w:tcBorders>
            <w:noWrap/>
            <w:vAlign w:val="center"/>
          </w:tcPr>
          <w:p w14:paraId="132FDDA5">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一、操作环境</w:t>
            </w:r>
          </w:p>
          <w:p w14:paraId="415CB8CB">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电源：AC 230V +/-10%，50/60Hz；温度：15-35℃；相对湿度20%-80%。</w:t>
            </w:r>
          </w:p>
          <w:p w14:paraId="101668FF">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二、技术性能要求</w:t>
            </w:r>
          </w:p>
          <w:p w14:paraId="08CDD3A1">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1、整机系统</w:t>
            </w:r>
            <w:bookmarkStart w:id="110" w:name="_Hlk39129469"/>
          </w:p>
          <w:p w14:paraId="53BB1602">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台式设计原子吸收光谱仪，火焰、石墨炉一体机或分体机，火焰及石墨炉都必须配置自动进样器，并列式设计或分体设计，切换时燃烧头和石墨管位置保持不变,串联式一体机视为不满足要求。仪器以智能化为基础，由进样系统、原子化器（火焰和石墨炉）、光路系统、检测器、分析软件和计算机系统组成，全自动控制，仪器监控仪表全部由计算机控制，任何仪器参数都不需要手动调节的原子吸收光谱仪。</w:t>
            </w:r>
            <w:bookmarkEnd w:id="110"/>
          </w:p>
          <w:p w14:paraId="0954E21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2、光学系统</w:t>
            </w:r>
          </w:p>
          <w:p w14:paraId="34E2EC8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▲.2.1、光学系统：单光束和双光束兼备或采用卡尔蔡司光学系统，软件自动切换。</w:t>
            </w:r>
          </w:p>
          <w:p w14:paraId="0BD4758B">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2.2、波长范围：180-900nm。</w:t>
            </w:r>
          </w:p>
          <w:p w14:paraId="11F2CB7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2.3、光谱带宽：狭缝的宽度自动选择，狭缝的高度自动选择，6种模式。</w:t>
            </w:r>
          </w:p>
          <w:p w14:paraId="18FF1E2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2.4、波长设定：全自动检索，自动波长扫描。</w:t>
            </w:r>
          </w:p>
          <w:p w14:paraId="40EFAFFF">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2.5、波长准确度：≤±0.1nm；波长重复性：≤±0.05nm。</w:t>
            </w:r>
          </w:p>
          <w:p w14:paraId="4926B8D2">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▲2.6、仪器光谱分辨能力：Mn279.5nm-279.8nm之间峰谷与279.5nm峰高之比≤15%。</w:t>
            </w:r>
          </w:p>
          <w:p w14:paraId="4C48C61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3、光源和检测器</w:t>
            </w:r>
          </w:p>
          <w:p w14:paraId="714CDECB">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■3.1、灯座：8灯座（全自动切换）。</w:t>
            </w:r>
          </w:p>
          <w:p w14:paraId="714DFC4C">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3.2、灯选择：内置两种灯电源，可连接空心阴极灯和高性能空心阴极灯；通过软件由计算机控制灯的选择和自动准直，可自动识别灯名称和设定灯电流推荐值。</w:t>
            </w:r>
          </w:p>
          <w:p w14:paraId="2FCF9E63">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3.3、检测器：广谱UV增强光电倍增管检测器或固态CCD检测器。</w:t>
            </w:r>
          </w:p>
          <w:p w14:paraId="56733C72">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4、火焰分析系统</w:t>
            </w:r>
          </w:p>
          <w:p w14:paraId="1E5A917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4.1、火焰耐HF酸进样系统，耐：≥50%(v/v)HCl、HNO</w:t>
            </w:r>
            <w:r>
              <w:rPr>
                <w:rFonts w:hint="eastAsia" w:ascii="宋体" w:hAnsi="宋体" w:eastAsia="宋体" w:cs="宋体"/>
                <w:color w:val="000000" w:themeColor="text1"/>
                <w:kern w:val="0"/>
                <w:sz w:val="22"/>
                <w:szCs w:val="22"/>
                <w:highlight w:val="none"/>
                <w:vertAlign w:val="subscript"/>
                <w:lang w:bidi="ar"/>
                <w14:textFill>
                  <w14:solidFill>
                    <w14:schemeClr w14:val="tx1"/>
                  </w14:solidFill>
                </w14:textFill>
              </w:rPr>
              <w:t>3</w:t>
            </w:r>
            <w:r>
              <w:rPr>
                <w:rFonts w:hint="eastAsia" w:ascii="宋体" w:hAnsi="宋体" w:eastAsia="宋体" w:cs="宋体"/>
                <w:color w:val="000000" w:themeColor="text1"/>
                <w:kern w:val="0"/>
                <w:sz w:val="22"/>
                <w:szCs w:val="22"/>
                <w:highlight w:val="none"/>
                <w:lang w:bidi="ar"/>
                <w14:textFill>
                  <w14:solidFill>
                    <w14:schemeClr w14:val="tx1"/>
                  </w14:solidFill>
                </w14:textFill>
              </w:rPr>
              <w:t>、H</w:t>
            </w:r>
            <w:r>
              <w:rPr>
                <w:rFonts w:hint="eastAsia" w:ascii="宋体" w:hAnsi="宋体" w:eastAsia="宋体" w:cs="宋体"/>
                <w:color w:val="000000" w:themeColor="text1"/>
                <w:kern w:val="0"/>
                <w:sz w:val="22"/>
                <w:szCs w:val="22"/>
                <w:highlight w:val="none"/>
                <w:vertAlign w:val="subscript"/>
                <w:lang w:bidi="ar"/>
                <w14:textFill>
                  <w14:solidFill>
                    <w14:schemeClr w14:val="tx1"/>
                  </w14:solidFill>
                </w14:textFill>
              </w:rPr>
              <w:t>2</w:t>
            </w:r>
            <w:r>
              <w:rPr>
                <w:rFonts w:hint="eastAsia" w:ascii="宋体" w:hAnsi="宋体" w:eastAsia="宋体" w:cs="宋体"/>
                <w:color w:val="000000" w:themeColor="text1"/>
                <w:kern w:val="0"/>
                <w:sz w:val="22"/>
                <w:szCs w:val="22"/>
                <w:highlight w:val="none"/>
                <w:lang w:bidi="ar"/>
                <w14:textFill>
                  <w14:solidFill>
                    <w14:schemeClr w14:val="tx1"/>
                  </w14:solidFill>
                </w14:textFill>
              </w:rPr>
              <w:t>SO</w:t>
            </w:r>
            <w:r>
              <w:rPr>
                <w:rFonts w:hint="eastAsia" w:ascii="宋体" w:hAnsi="宋体" w:eastAsia="宋体" w:cs="宋体"/>
                <w:color w:val="000000" w:themeColor="text1"/>
                <w:kern w:val="0"/>
                <w:sz w:val="22"/>
                <w:szCs w:val="22"/>
                <w:highlight w:val="none"/>
                <w:vertAlign w:val="subscript"/>
                <w:lang w:bidi="ar"/>
                <w14:textFill>
                  <w14:solidFill>
                    <w14:schemeClr w14:val="tx1"/>
                  </w14:solidFill>
                </w14:textFill>
              </w:rPr>
              <w:t>4</w:t>
            </w:r>
            <w:r>
              <w:rPr>
                <w:rFonts w:hint="eastAsia" w:ascii="宋体" w:hAnsi="宋体" w:eastAsia="宋体" w:cs="宋体"/>
                <w:color w:val="000000" w:themeColor="text1"/>
                <w:kern w:val="0"/>
                <w:sz w:val="22"/>
                <w:szCs w:val="22"/>
                <w:highlight w:val="none"/>
                <w:lang w:bidi="ar"/>
                <w14:textFill>
                  <w14:solidFill>
                    <w14:schemeClr w14:val="tx1"/>
                  </w14:solidFill>
                </w14:textFill>
              </w:rPr>
              <w:t>、H</w:t>
            </w:r>
            <w:r>
              <w:rPr>
                <w:rFonts w:hint="eastAsia" w:ascii="宋体" w:hAnsi="宋体" w:eastAsia="宋体" w:cs="宋体"/>
                <w:color w:val="000000" w:themeColor="text1"/>
                <w:kern w:val="0"/>
                <w:sz w:val="22"/>
                <w:szCs w:val="22"/>
                <w:highlight w:val="none"/>
                <w:vertAlign w:val="subscript"/>
                <w:lang w:bidi="ar"/>
                <w14:textFill>
                  <w14:solidFill>
                    <w14:schemeClr w14:val="tx1"/>
                  </w14:solidFill>
                </w14:textFill>
              </w:rPr>
              <w:t>3</w:t>
            </w:r>
            <w:r>
              <w:rPr>
                <w:rFonts w:hint="eastAsia" w:ascii="宋体" w:hAnsi="宋体" w:eastAsia="宋体" w:cs="宋体"/>
                <w:color w:val="000000" w:themeColor="text1"/>
                <w:kern w:val="0"/>
                <w:sz w:val="22"/>
                <w:szCs w:val="22"/>
                <w:highlight w:val="none"/>
                <w:lang w:bidi="ar"/>
                <w14:textFill>
                  <w14:solidFill>
                    <w14:schemeClr w14:val="tx1"/>
                  </w14:solidFill>
                </w14:textFill>
              </w:rPr>
              <w:t>PO</w:t>
            </w:r>
            <w:r>
              <w:rPr>
                <w:rFonts w:hint="eastAsia" w:ascii="宋体" w:hAnsi="宋体" w:eastAsia="宋体" w:cs="宋体"/>
                <w:color w:val="000000" w:themeColor="text1"/>
                <w:kern w:val="0"/>
                <w:sz w:val="22"/>
                <w:szCs w:val="22"/>
                <w:highlight w:val="none"/>
                <w:vertAlign w:val="subscript"/>
                <w:lang w:bidi="ar"/>
                <w14:textFill>
                  <w14:solidFill>
                    <w14:schemeClr w14:val="tx1"/>
                  </w14:solidFill>
                </w14:textFill>
              </w:rPr>
              <w:t>4</w:t>
            </w:r>
            <w:r>
              <w:rPr>
                <w:rFonts w:hint="eastAsia" w:ascii="宋体" w:hAnsi="宋体" w:eastAsia="宋体" w:cs="宋体"/>
                <w:color w:val="000000" w:themeColor="text1"/>
                <w:kern w:val="0"/>
                <w:sz w:val="22"/>
                <w:szCs w:val="22"/>
                <w:highlight w:val="none"/>
                <w:lang w:bidi="ar"/>
                <w14:textFill>
                  <w14:solidFill>
                    <w14:schemeClr w14:val="tx1"/>
                  </w14:solidFill>
                </w14:textFill>
              </w:rPr>
              <w:t>，20%(v/v)HF，30%(w/v)NaOH以及30%的高盐样品。可调式通用型雾化器，高强度惰性材料预混室，全钛燃烧头。</w:t>
            </w:r>
          </w:p>
          <w:p w14:paraId="1E73907F">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4.2、火焰系统安全保护：安全联锁装置与燃烧头，雾化器/端盖，排液系统，废液桶液面高度，气体流量等联锁，防止在任何不当条件下点火，当监测不到火焰或任何锁定功能激活时，联锁系统会自动关闭燃烧气体，以防万一。突然断电时，仪器会从任何操作方式按预设程序自动关机，确保安全，软件支持气体泄露测试或采用多级硬件+软件联锁保护；先自检、后通气、再点火；任一条件不满足则禁止点火/立即熄火，具有全程实时监控，故障立即切断，声光报警和软件提示功能。</w:t>
            </w:r>
          </w:p>
          <w:p w14:paraId="32747C5E">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4.3、燃烧器系统：燃烧头角度可调节，预混燃烧器可通过软件控制驱动装置自动换入样品室。火焰在光路中的准直，燃烧器的垂直，水平位置的调节完全自动化，并由软件控制自动进行位置最佳化。</w:t>
            </w:r>
          </w:p>
          <w:p w14:paraId="4F53FEEB">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4.4、背景校正方式：采用高强度宽范围氘灯背景校正，可校正357nm铬。</w:t>
            </w:r>
          </w:p>
          <w:p w14:paraId="54EBE440">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4.5、灵敏度：5ppm Cu吸光度≥1.0A。检出限：＜0.003ppm。 </w:t>
            </w:r>
          </w:p>
          <w:p w14:paraId="73D6E7CE">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4.6、稳定性：5ppm Cu重复7次，RSD%≤0.35%。 </w:t>
            </w:r>
          </w:p>
          <w:p w14:paraId="3F1B5A0E">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■4.7、火焰方法测量：766.49nm：10ppm，20ppm，30ppm，40ppm，50ppm的钾（K）标准溶液，以线性计算截距的校准方式，线性相关系数必须大于0.9999。</w:t>
            </w:r>
          </w:p>
          <w:p w14:paraId="54768DB5">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4.8、30分钟动态基线稳定性：Cu（0.2nm狭缝，预热小于30分钟）±0.0030Abs，Ni（0.2nm狭缝，预热小于30分钟）±0.0050Abs。 </w:t>
            </w:r>
          </w:p>
          <w:p w14:paraId="722CB1D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5、石墨炉分析系统</w:t>
            </w:r>
          </w:p>
          <w:p w14:paraId="291D3766">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5.1、石墨管：采用带热解涂层的平台石墨管，一次最大进样体积≥90ul。</w:t>
            </w:r>
          </w:p>
          <w:p w14:paraId="02913E71">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5.2、加热方式：纵向加热或横向加热。</w:t>
            </w:r>
          </w:p>
          <w:p w14:paraId="377D4B9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5.3、石墨炉工作温度：室温－3000℃。</w:t>
            </w:r>
          </w:p>
          <w:p w14:paraId="70554D38">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5.4、温度控制：红外探头石墨管温度实时监控，具有电压补偿和石墨管电阻变化补偿功能。</w:t>
            </w:r>
          </w:p>
          <w:p w14:paraId="2B2C123A">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▲5.5、背景校正方式：具有塞曼背景校正或氘灯背景校正任意一种校正功能。</w:t>
            </w:r>
          </w:p>
          <w:p w14:paraId="276F7505">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■5.6、电源：内置直流石墨炉电源，整个仪器为一个整体。</w:t>
            </w:r>
          </w:p>
          <w:p w14:paraId="33E98200">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▲5.7、具有石墨炉彩色摄像系统，可观察样品在石墨管内干燥、灰化等过程，便于调整自动进样器的位置。</w:t>
            </w:r>
          </w:p>
          <w:p w14:paraId="3BC7A83A">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■5.8、石墨炉配备加氧装置。</w:t>
            </w:r>
          </w:p>
          <w:p w14:paraId="18DD2131">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5.9、灵敏度：2ppb Cd进样20微升，吸光度≥0.2A。检出限：＜0.02ppb。</w:t>
            </w:r>
          </w:p>
          <w:p w14:paraId="5C12E9B0">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5.10、稳定性：2ppb Cd重复7次，RSD%≤2%。</w:t>
            </w:r>
          </w:p>
          <w:p w14:paraId="640A1420">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▲5.11、石墨炉方法测量：1%氯化钠基体溶液中10ppb、20ppb、30ppb、40ppb、50ppb的铅（Pb）标准溶液，以线性计算截距的校准方式，线性相关系数必须大于0.999。</w:t>
            </w:r>
          </w:p>
          <w:p w14:paraId="347E619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5.12、石墨炉方法测量：10ppb，20ppb，30ppb，40ppb，50ppb高温元素铝（Al）标准溶液，以线性计算截距的校准方式，线性相关系数必须大于0.999。</w:t>
            </w:r>
            <w:bookmarkStart w:id="111" w:name="OLE_LINK1"/>
          </w:p>
          <w:bookmarkEnd w:id="111"/>
          <w:p w14:paraId="2FC54DC6">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5.13、石墨炉方法测量：4ppb，8ppb，12ppb，16ppb，20ppb高温元素钡（Ba）标准溶液，以线性计算截距的校准方式，线性相关系数必须大于0.999。</w:t>
            </w:r>
          </w:p>
          <w:p w14:paraId="32B8D69F">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6、火焰/石墨炉一体化自动进样器</w:t>
            </w:r>
          </w:p>
          <w:p w14:paraId="5D2236CC">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bookmarkStart w:id="112" w:name="_Hlk67322436"/>
            <w:r>
              <w:rPr>
                <w:rFonts w:hint="eastAsia" w:ascii="宋体" w:hAnsi="宋体" w:eastAsia="宋体" w:cs="宋体"/>
                <w:color w:val="000000" w:themeColor="text1"/>
                <w:kern w:val="0"/>
                <w:sz w:val="22"/>
                <w:szCs w:val="22"/>
                <w:highlight w:val="none"/>
                <w:lang w:bidi="ar"/>
                <w14:textFill>
                  <w14:solidFill>
                    <w14:schemeClr w14:val="tx1"/>
                  </w14:solidFill>
                </w14:textFill>
              </w:rPr>
              <w:t>■6.1、样品位数：≥60个，带取样嘴清洗池。</w:t>
            </w:r>
          </w:p>
          <w:bookmarkEnd w:id="112"/>
          <w:p w14:paraId="06D047F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6.2、进样量：1-99微升或2-45 微升连续可调，最小增量1µl。</w:t>
            </w:r>
          </w:p>
          <w:p w14:paraId="74D2D8EB">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6.3、石墨炉分析可自动进行配制标准、加基体改进剂、浓缩和稀释、质量控制。</w:t>
            </w:r>
          </w:p>
          <w:p w14:paraId="6C552829">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6.4、火焰/石墨炉自动进样器切换无需任何工具。</w:t>
            </w:r>
          </w:p>
          <w:p w14:paraId="1B6E0994">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7、操作控制软件</w:t>
            </w:r>
          </w:p>
          <w:p w14:paraId="162354E4">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7.1、校正曲线：多达15个标准点的各种校正曲线法供选择，可任选单标进行曲线斜率重校。</w:t>
            </w:r>
          </w:p>
          <w:p w14:paraId="19438818">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7.2、软件具有一键视频教学功能。</w:t>
            </w:r>
          </w:p>
          <w:p w14:paraId="3DC501BE">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7.3、仪器诊断软件和网络通讯。</w:t>
            </w:r>
          </w:p>
          <w:p w14:paraId="6414EA11">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7.4、每一元素的测量参数自动优化并推荐最佳值，无需使用者进行估计。</w:t>
            </w:r>
          </w:p>
          <w:p w14:paraId="3CE1F742">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7.5、石墨炉分析时默认峰面积分读数。</w:t>
            </w:r>
          </w:p>
          <w:p w14:paraId="52AD0B23">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三、配置和附件要求</w:t>
            </w:r>
          </w:p>
          <w:p w14:paraId="3D741343">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1、原子吸收光谱仪主机（含火焰原子化器和石墨炉原子化器）1套</w:t>
            </w:r>
          </w:p>
          <w:p w14:paraId="4C9641B8">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2、仪器控制软件 1套</w:t>
            </w:r>
          </w:p>
          <w:p w14:paraId="5AA1F5DA">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3、自动进样器（样品位不少于60位）　1套</w:t>
            </w:r>
          </w:p>
          <w:p w14:paraId="3ADA43A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4、样品进样、干燥、灰化、原子化和清洗全监测摄像装置　1套 </w:t>
            </w:r>
          </w:p>
          <w:p w14:paraId="0DF5B74B">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5、能量自动平衡氘灯专用控制系统或塞曼装置　1套</w:t>
            </w:r>
          </w:p>
          <w:p w14:paraId="3C7A772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6、石墨炉加热直流电源　1套</w:t>
            </w:r>
          </w:p>
          <w:p w14:paraId="0FB7160A">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7、带液封监测安全联锁保护电路的排废液装置　1套</w:t>
            </w:r>
          </w:p>
          <w:p w14:paraId="762D07F0">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8、空气、乙炔气、氩气专用连接管路　各1套</w:t>
            </w:r>
          </w:p>
          <w:p w14:paraId="340CB1A9">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9、标准附件箱（包括燃烧头刮刀、台灯等）　1套</w:t>
            </w:r>
          </w:p>
          <w:p w14:paraId="21B7B5D0">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10、空气压缩机和空气过滤器　1套</w:t>
            </w:r>
          </w:p>
          <w:p w14:paraId="4F45044E">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11、循环冷却水系统　1套</w:t>
            </w:r>
          </w:p>
          <w:p w14:paraId="2335E4CB">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12、石墨炉加氧除碳炉内消解装置　1套</w:t>
            </w:r>
          </w:p>
          <w:p w14:paraId="4AF8D232">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13、原厂空心阴极灯Cu、Pb、Cd、Fe、Zn、Ni、Mn、Cr各1只</w:t>
            </w:r>
          </w:p>
          <w:p w14:paraId="0C0DF23A">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14、一体化带平台涂层石墨管20只</w:t>
            </w:r>
          </w:p>
          <w:p w14:paraId="33DF1CE8">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15、石墨炉自动进样器样品杯　500个</w:t>
            </w:r>
          </w:p>
          <w:p w14:paraId="42E29549">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16、火焰自动进样器样品管　600个</w:t>
            </w:r>
          </w:p>
          <w:p w14:paraId="495EA055">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17、控制工作站（配置优于CPU： 4核3.2GHZ；内存：32G；硬盘：500GB；专用显示器≥24寸）　1台</w:t>
            </w:r>
          </w:p>
          <w:p w14:paraId="32734A04">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18、A4激光打印机 1台</w:t>
            </w:r>
          </w:p>
          <w:p w14:paraId="7DF9A8BC">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19、高纯氩气钢瓶（含气、减压阀） 1套</w:t>
            </w:r>
          </w:p>
          <w:p w14:paraId="0AA22C6C">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20、乙炔气钢瓶（含气、减压阀） 1套</w:t>
            </w:r>
          </w:p>
        </w:tc>
      </w:tr>
      <w:tr w14:paraId="623BB4F2">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14D1C1AA">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18</w:t>
            </w:r>
          </w:p>
        </w:tc>
        <w:tc>
          <w:tcPr>
            <w:tcW w:w="3051" w:type="dxa"/>
            <w:tcBorders>
              <w:top w:val="single" w:color="000000" w:sz="8" w:space="0"/>
              <w:left w:val="single" w:color="000000" w:sz="8" w:space="0"/>
              <w:bottom w:val="single" w:color="000000" w:sz="8" w:space="0"/>
              <w:right w:val="single" w:color="000000" w:sz="8" w:space="0"/>
            </w:tcBorders>
            <w:vAlign w:val="center"/>
          </w:tcPr>
          <w:p w14:paraId="37307CE6">
            <w:pPr>
              <w:widowControl/>
              <w:snapToGrid w:val="0"/>
              <w:jc w:val="left"/>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紫外可见分光光度计</w:t>
            </w:r>
          </w:p>
        </w:tc>
        <w:tc>
          <w:tcPr>
            <w:tcW w:w="10247" w:type="dxa"/>
            <w:tcBorders>
              <w:top w:val="single" w:color="000000" w:sz="8" w:space="0"/>
              <w:left w:val="single" w:color="000000" w:sz="8" w:space="0"/>
              <w:bottom w:val="single" w:color="000000" w:sz="8" w:space="0"/>
              <w:right w:val="single" w:color="000000" w:sz="8" w:space="0"/>
            </w:tcBorders>
            <w:noWrap/>
            <w:vAlign w:val="center"/>
          </w:tcPr>
          <w:p w14:paraId="1A276E24">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光学系统：双光束</w:t>
            </w:r>
          </w:p>
          <w:p w14:paraId="30CB92B1">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光谱带宽：1.8nm</w:t>
            </w:r>
          </w:p>
          <w:p w14:paraId="5C6AE1C0">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波长范围：190 ~ 900 nm</w:t>
            </w:r>
          </w:p>
          <w:p w14:paraId="187295BF">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波长准确度：±0.3 nm</w:t>
            </w:r>
          </w:p>
          <w:p w14:paraId="16E3E780">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波长重复性：≤0.2 nm</w:t>
            </w:r>
          </w:p>
          <w:p w14:paraId="4079103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波长显示：0.1 nm</w:t>
            </w:r>
          </w:p>
          <w:p w14:paraId="2C6FC1E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波长移动速度：5000 nm/min</w:t>
            </w:r>
          </w:p>
          <w:p w14:paraId="46DC1123">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扫描速度：100 ~ 4500 nm/min</w:t>
            </w:r>
          </w:p>
          <w:p w14:paraId="6D40B316">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光度范围：-3 ~ 3 A，0 ~ 400 %T</w:t>
            </w:r>
          </w:p>
          <w:p w14:paraId="33007D0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光度准确度：±0.3 %T </w:t>
            </w:r>
          </w:p>
          <w:p w14:paraId="7328C9C0">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光度重复性：≤0.15 %T </w:t>
            </w:r>
          </w:p>
          <w:p w14:paraId="2459E7C2">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噪声： ≤0.0008 A @ 2 A，500 nm</w:t>
            </w:r>
          </w:p>
          <w:p w14:paraId="6FAD5C3A">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漂移：</w:t>
            </w:r>
            <w:r>
              <w:rPr>
                <w:rFonts w:hint="eastAsia" w:ascii="宋体" w:hAnsi="宋体" w:eastAsia="宋体" w:cs="宋体"/>
                <w:color w:val="000000" w:themeColor="text1"/>
                <w:kern w:val="0"/>
                <w:sz w:val="22"/>
                <w:szCs w:val="22"/>
                <w:highlight w:val="none"/>
                <w:lang w:bidi="ar"/>
                <w14:textFill>
                  <w14:solidFill>
                    <w14:schemeClr w14:val="tx1"/>
                  </w14:solidFill>
                </w14:textFill>
              </w:rPr>
              <w:tab/>
            </w:r>
            <w:r>
              <w:rPr>
                <w:rFonts w:hint="eastAsia" w:ascii="宋体" w:hAnsi="宋体" w:eastAsia="宋体" w:cs="宋体"/>
                <w:color w:val="000000" w:themeColor="text1"/>
                <w:kern w:val="0"/>
                <w:sz w:val="22"/>
                <w:szCs w:val="22"/>
                <w:highlight w:val="none"/>
                <w:lang w:bidi="ar"/>
                <w14:textFill>
                  <w14:solidFill>
                    <w14:schemeClr w14:val="tx1"/>
                  </w14:solidFill>
                </w14:textFill>
              </w:rPr>
              <w:t>≤0.0005A/h</w:t>
            </w:r>
            <w:r>
              <w:rPr>
                <w:rFonts w:hint="eastAsia" w:ascii="宋体" w:hAnsi="宋体" w:eastAsia="宋体" w:cs="宋体"/>
                <w:color w:val="000000" w:themeColor="text1"/>
                <w:kern w:val="0"/>
                <w:sz w:val="22"/>
                <w:szCs w:val="22"/>
                <w:highlight w:val="none"/>
                <w:lang w:bidi="ar"/>
                <w14:textFill>
                  <w14:solidFill>
                    <w14:schemeClr w14:val="tx1"/>
                  </w14:solidFill>
                </w14:textFill>
              </w:rPr>
              <w:tab/>
            </w:r>
          </w:p>
          <w:p w14:paraId="2A6DC983">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基线平直度：±0.001 A</w:t>
            </w:r>
            <w:r>
              <w:rPr>
                <w:rFonts w:hint="eastAsia" w:ascii="宋体" w:hAnsi="宋体" w:eastAsia="宋体" w:cs="宋体"/>
                <w:color w:val="000000" w:themeColor="text1"/>
                <w:kern w:val="0"/>
                <w:sz w:val="22"/>
                <w:szCs w:val="22"/>
                <w:highlight w:val="none"/>
                <w:lang w:bidi="ar"/>
                <w14:textFill>
                  <w14:solidFill>
                    <w14:schemeClr w14:val="tx1"/>
                  </w14:solidFill>
                </w14:textFill>
              </w:rPr>
              <w:tab/>
            </w:r>
          </w:p>
          <w:p w14:paraId="6D07ED7A">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■杂散光≤0.05 %</w:t>
            </w:r>
            <w:r>
              <w:rPr>
                <w:rFonts w:hint="eastAsia" w:ascii="宋体" w:hAnsi="宋体" w:eastAsia="宋体" w:cs="宋体"/>
                <w:color w:val="000000" w:themeColor="text1"/>
                <w:kern w:val="0"/>
                <w:sz w:val="22"/>
                <w:szCs w:val="22"/>
                <w:highlight w:val="none"/>
                <w:lang w:bidi="ar"/>
                <w14:textFill>
                  <w14:solidFill>
                    <w14:schemeClr w14:val="tx1"/>
                  </w14:solidFill>
                </w14:textFill>
              </w:rPr>
              <w:tab/>
            </w:r>
          </w:p>
          <w:p w14:paraId="77512966">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测量模式：光度测量，定量测量，光谱测量，动力学，时间扫描，多波长测量，生物方法测量，自定义方法测量</w:t>
            </w:r>
            <w:r>
              <w:rPr>
                <w:rFonts w:hint="eastAsia" w:ascii="宋体" w:hAnsi="宋体" w:eastAsia="宋体" w:cs="宋体"/>
                <w:color w:val="000000" w:themeColor="text1"/>
                <w:kern w:val="0"/>
                <w:sz w:val="22"/>
                <w:szCs w:val="22"/>
                <w:highlight w:val="none"/>
                <w:lang w:bidi="ar"/>
                <w14:textFill>
                  <w14:solidFill>
                    <w14:schemeClr w14:val="tx1"/>
                  </w14:solidFill>
                </w14:textFill>
              </w:rPr>
              <w:tab/>
            </w:r>
            <w:r>
              <w:rPr>
                <w:rFonts w:hint="eastAsia" w:ascii="宋体" w:hAnsi="宋体" w:eastAsia="宋体" w:cs="宋体"/>
                <w:color w:val="000000" w:themeColor="text1"/>
                <w:kern w:val="0"/>
                <w:sz w:val="22"/>
                <w:szCs w:val="22"/>
                <w:highlight w:val="none"/>
                <w:lang w:bidi="ar"/>
                <w14:textFill>
                  <w14:solidFill>
                    <w14:schemeClr w14:val="tx1"/>
                  </w14:solidFill>
                </w14:textFill>
              </w:rPr>
              <w:tab/>
            </w:r>
            <w:r>
              <w:rPr>
                <w:rFonts w:hint="eastAsia" w:ascii="宋体" w:hAnsi="宋体" w:eastAsia="宋体" w:cs="宋体"/>
                <w:color w:val="000000" w:themeColor="text1"/>
                <w:kern w:val="0"/>
                <w:sz w:val="22"/>
                <w:szCs w:val="22"/>
                <w:highlight w:val="none"/>
                <w:lang w:bidi="ar"/>
                <w14:textFill>
                  <w14:solidFill>
                    <w14:schemeClr w14:val="tx1"/>
                  </w14:solidFill>
                </w14:textFill>
              </w:rPr>
              <w:tab/>
            </w:r>
            <w:r>
              <w:rPr>
                <w:rFonts w:hint="eastAsia" w:ascii="宋体" w:hAnsi="宋体" w:eastAsia="宋体" w:cs="宋体"/>
                <w:color w:val="000000" w:themeColor="text1"/>
                <w:kern w:val="0"/>
                <w:sz w:val="22"/>
                <w:szCs w:val="22"/>
                <w:highlight w:val="none"/>
                <w:lang w:bidi="ar"/>
                <w14:textFill>
                  <w14:solidFill>
                    <w14:schemeClr w14:val="tx1"/>
                  </w14:solidFill>
                </w14:textFill>
              </w:rPr>
              <w:tab/>
            </w:r>
          </w:p>
          <w:p w14:paraId="509022DF">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接收器</w:t>
            </w:r>
            <w:r>
              <w:rPr>
                <w:rFonts w:hint="eastAsia" w:ascii="宋体" w:hAnsi="宋体" w:eastAsia="宋体" w:cs="宋体"/>
                <w:color w:val="000000" w:themeColor="text1"/>
                <w:kern w:val="0"/>
                <w:sz w:val="22"/>
                <w:szCs w:val="22"/>
                <w:highlight w:val="none"/>
                <w:lang w:bidi="ar"/>
                <w14:textFill>
                  <w14:solidFill>
                    <w14:schemeClr w14:val="tx1"/>
                  </w14:solidFill>
                </w14:textFill>
              </w:rPr>
              <w:tab/>
            </w:r>
            <w:r>
              <w:rPr>
                <w:rFonts w:hint="eastAsia" w:ascii="宋体" w:hAnsi="宋体" w:eastAsia="宋体" w:cs="宋体"/>
                <w:color w:val="000000" w:themeColor="text1"/>
                <w:kern w:val="0"/>
                <w:sz w:val="22"/>
                <w:szCs w:val="22"/>
                <w:highlight w:val="none"/>
                <w:lang w:bidi="ar"/>
                <w14:textFill>
                  <w14:solidFill>
                    <w14:schemeClr w14:val="tx1"/>
                  </w14:solidFill>
                </w14:textFill>
              </w:rPr>
              <w:t>硅光电池</w:t>
            </w:r>
            <w:r>
              <w:rPr>
                <w:rFonts w:hint="eastAsia" w:ascii="宋体" w:hAnsi="宋体" w:eastAsia="宋体" w:cs="宋体"/>
                <w:color w:val="000000" w:themeColor="text1"/>
                <w:kern w:val="0"/>
                <w:sz w:val="22"/>
                <w:szCs w:val="22"/>
                <w:highlight w:val="none"/>
                <w:lang w:bidi="ar"/>
                <w14:textFill>
                  <w14:solidFill>
                    <w14:schemeClr w14:val="tx1"/>
                  </w14:solidFill>
                </w14:textFill>
              </w:rPr>
              <w:tab/>
            </w:r>
            <w:r>
              <w:rPr>
                <w:rFonts w:hint="eastAsia" w:ascii="宋体" w:hAnsi="宋体" w:eastAsia="宋体" w:cs="宋体"/>
                <w:color w:val="000000" w:themeColor="text1"/>
                <w:kern w:val="0"/>
                <w:sz w:val="22"/>
                <w:szCs w:val="22"/>
                <w:highlight w:val="none"/>
                <w:lang w:bidi="ar"/>
                <w14:textFill>
                  <w14:solidFill>
                    <w14:schemeClr w14:val="tx1"/>
                  </w14:solidFill>
                </w14:textFill>
              </w:rPr>
              <w:tab/>
            </w:r>
            <w:r>
              <w:rPr>
                <w:rFonts w:hint="eastAsia" w:ascii="宋体" w:hAnsi="宋体" w:eastAsia="宋体" w:cs="宋体"/>
                <w:color w:val="000000" w:themeColor="text1"/>
                <w:kern w:val="0"/>
                <w:sz w:val="22"/>
                <w:szCs w:val="22"/>
                <w:highlight w:val="none"/>
                <w:lang w:bidi="ar"/>
                <w14:textFill>
                  <w14:solidFill>
                    <w14:schemeClr w14:val="tx1"/>
                  </w14:solidFill>
                </w14:textFill>
              </w:rPr>
              <w:tab/>
            </w:r>
            <w:r>
              <w:rPr>
                <w:rFonts w:hint="eastAsia" w:ascii="宋体" w:hAnsi="宋体" w:eastAsia="宋体" w:cs="宋体"/>
                <w:color w:val="000000" w:themeColor="text1"/>
                <w:kern w:val="0"/>
                <w:sz w:val="22"/>
                <w:szCs w:val="22"/>
                <w:highlight w:val="none"/>
                <w:lang w:bidi="ar"/>
                <w14:textFill>
                  <w14:solidFill>
                    <w14:schemeClr w14:val="tx1"/>
                  </w14:solidFill>
                </w14:textFill>
              </w:rPr>
              <w:tab/>
            </w:r>
          </w:p>
          <w:p w14:paraId="5FFC1F86">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测量：内置7种测量方法（260/280，260/230，Lowery法，UV法，BCA法，CBB法，Biuret），</w:t>
            </w:r>
          </w:p>
          <w:p w14:paraId="74A204E0">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▲仪器自带性能验证：波长精度，波长重复性验证，光度精度，光度重复性验证、杂散光验证，分辨率验证等功能。</w:t>
            </w:r>
            <w:r>
              <w:rPr>
                <w:rFonts w:hint="eastAsia" w:ascii="宋体" w:hAnsi="宋体" w:eastAsia="宋体" w:cs="宋体"/>
                <w:color w:val="000000" w:themeColor="text1"/>
                <w:kern w:val="0"/>
                <w:sz w:val="22"/>
                <w:szCs w:val="22"/>
                <w:highlight w:val="none"/>
                <w:lang w:bidi="ar"/>
                <w14:textFill>
                  <w14:solidFill>
                    <w14:schemeClr w14:val="tx1"/>
                  </w14:solidFill>
                </w14:textFill>
              </w:rPr>
              <w:tab/>
            </w:r>
            <w:r>
              <w:rPr>
                <w:rFonts w:hint="eastAsia" w:ascii="宋体" w:hAnsi="宋体" w:eastAsia="宋体" w:cs="宋体"/>
                <w:color w:val="000000" w:themeColor="text1"/>
                <w:kern w:val="0"/>
                <w:sz w:val="22"/>
                <w:szCs w:val="22"/>
                <w:highlight w:val="none"/>
                <w:lang w:bidi="ar"/>
                <w14:textFill>
                  <w14:solidFill>
                    <w14:schemeClr w14:val="tx1"/>
                  </w14:solidFill>
                </w14:textFill>
              </w:rPr>
              <w:tab/>
            </w:r>
            <w:r>
              <w:rPr>
                <w:rFonts w:hint="eastAsia" w:ascii="宋体" w:hAnsi="宋体" w:eastAsia="宋体" w:cs="宋体"/>
                <w:color w:val="000000" w:themeColor="text1"/>
                <w:kern w:val="0"/>
                <w:sz w:val="22"/>
                <w:szCs w:val="22"/>
                <w:highlight w:val="none"/>
                <w:lang w:bidi="ar"/>
                <w14:textFill>
                  <w14:solidFill>
                    <w14:schemeClr w14:val="tx1"/>
                  </w14:solidFill>
                </w14:textFill>
              </w:rPr>
              <w:tab/>
            </w:r>
            <w:r>
              <w:rPr>
                <w:rFonts w:hint="eastAsia" w:ascii="宋体" w:hAnsi="宋体" w:eastAsia="宋体" w:cs="宋体"/>
                <w:color w:val="000000" w:themeColor="text1"/>
                <w:kern w:val="0"/>
                <w:sz w:val="22"/>
                <w:szCs w:val="22"/>
                <w:highlight w:val="none"/>
                <w:lang w:bidi="ar"/>
                <w14:textFill>
                  <w14:solidFill>
                    <w14:schemeClr w14:val="tx1"/>
                  </w14:solidFill>
                </w14:textFill>
              </w:rPr>
              <w:tab/>
            </w:r>
          </w:p>
          <w:p w14:paraId="3BEF6CD3">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内置电脑或微处理机（2GB内存/64GB SSD存储器或工业嵌入式系统，彩色液晶触摸屏或按键，彩色液晶屏像素不低于1280×800）；</w:t>
            </w:r>
          </w:p>
          <w:p w14:paraId="568E3AF7">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样品室适配5~100mm的样品池架及配10、20、30、40、50mm比色皿各4只，配10mm石英比色皿2只。；</w:t>
            </w:r>
            <w:r>
              <w:rPr>
                <w:rFonts w:hint="eastAsia" w:ascii="宋体" w:hAnsi="宋体" w:eastAsia="宋体" w:cs="宋体"/>
                <w:color w:val="000000" w:themeColor="text1"/>
                <w:kern w:val="0"/>
                <w:sz w:val="22"/>
                <w:szCs w:val="22"/>
                <w:highlight w:val="none"/>
                <w:lang w:bidi="ar"/>
                <w14:textFill>
                  <w14:solidFill>
                    <w14:schemeClr w14:val="tx1"/>
                  </w14:solidFill>
                </w14:textFill>
              </w:rPr>
              <w:cr/>
            </w:r>
            <w:r>
              <w:rPr>
                <w:rFonts w:hint="eastAsia" w:ascii="宋体" w:hAnsi="宋体" w:eastAsia="宋体" w:cs="宋体"/>
                <w:color w:val="000000" w:themeColor="text1"/>
                <w:kern w:val="0"/>
                <w:sz w:val="22"/>
                <w:szCs w:val="22"/>
                <w:highlight w:val="none"/>
                <w:lang w:bidi="ar"/>
                <w14:textFill>
                  <w14:solidFill>
                    <w14:schemeClr w14:val="tx1"/>
                  </w14:solidFill>
                </w14:textFill>
              </w:rPr>
              <w:t>开机自校准系统和预热；</w:t>
            </w:r>
          </w:p>
        </w:tc>
      </w:tr>
      <w:tr w14:paraId="0C997151">
        <w:tblPrEx>
          <w:tblCellMar>
            <w:top w:w="0" w:type="dxa"/>
            <w:left w:w="108" w:type="dxa"/>
            <w:bottom w:w="0" w:type="dxa"/>
            <w:right w:w="108" w:type="dxa"/>
          </w:tblCellMar>
        </w:tblPrEx>
        <w:trPr>
          <w:trHeight w:val="4494"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5DBB43E9">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19</w:t>
            </w:r>
          </w:p>
        </w:tc>
        <w:tc>
          <w:tcPr>
            <w:tcW w:w="3051" w:type="dxa"/>
            <w:tcBorders>
              <w:top w:val="single" w:color="000000" w:sz="8" w:space="0"/>
              <w:left w:val="single" w:color="000000" w:sz="8" w:space="0"/>
              <w:bottom w:val="single" w:color="000000" w:sz="8" w:space="0"/>
              <w:right w:val="single" w:color="000000" w:sz="8" w:space="0"/>
            </w:tcBorders>
            <w:vAlign w:val="center"/>
          </w:tcPr>
          <w:p w14:paraId="00F6AA84">
            <w:pPr>
              <w:widowControl/>
              <w:snapToGrid w:val="0"/>
              <w:jc w:val="left"/>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多功能声级计</w:t>
            </w:r>
          </w:p>
        </w:tc>
        <w:tc>
          <w:tcPr>
            <w:tcW w:w="10247" w:type="dxa"/>
            <w:tcBorders>
              <w:top w:val="single" w:color="000000" w:sz="8" w:space="0"/>
              <w:left w:val="single" w:color="000000" w:sz="8" w:space="0"/>
              <w:bottom w:val="single" w:color="000000" w:sz="8" w:space="0"/>
              <w:right w:val="single" w:color="000000" w:sz="8" w:space="0"/>
            </w:tcBorders>
            <w:vAlign w:val="center"/>
          </w:tcPr>
          <w:p w14:paraId="652C2861">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1、执行标准：GB/T 3785-2010 1级；GB/T 3241-2010 1级</w:t>
            </w:r>
          </w:p>
          <w:p w14:paraId="678A3A78">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2、测量范围：20dB（A）-143dB（A）</w:t>
            </w:r>
          </w:p>
          <w:p w14:paraId="7D63295A">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3、时间计权：并行F、S、I ，频率计权：并行A、C、Z</w:t>
            </w:r>
          </w:p>
          <w:p w14:paraId="5A81AC73">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4、显示器：不小于4.3英寸电容触摸屏，并提供实物彩色照片</w:t>
            </w:r>
          </w:p>
          <w:p w14:paraId="34C40294">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5、主要功能：总值积分、统计分析、24小时自动监测、数据采集测量功能，</w:t>
            </w:r>
          </w:p>
          <w:p w14:paraId="458481ED">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6、测量指标：Lxyp、Lxeq,T、Lxeq,t、Lxmax、Lxmin、LxN、SD、SEL、Lxpeak等（注：x为A、C、Z计权；y为F、S、I计权；N为5，10，50，90，95累积声级）</w:t>
            </w:r>
          </w:p>
          <w:p w14:paraId="0546639C">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7、数据存贮：不小于16G内部存储，最大支持64G TF卡，并带录音功能，可以采集自然声源。</w:t>
            </w:r>
          </w:p>
          <w:p w14:paraId="7B6A03C5">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8、通信接口：4G、WIFI、蓝牙、串口、USB、网口等，可以将数据传输到网上与在线设备实时对比数据</w:t>
            </w:r>
          </w:p>
          <w:p w14:paraId="02F676F6">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9、电池：不低于10000mAH，正常模式续航8小时以上，24小时测量模式下至少续航1天以上。</w:t>
            </w:r>
          </w:p>
          <w:p w14:paraId="6DE3D7FC">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11、高标准防水，防护等级不低于IP65，提供法定第三方检测机构出具的带CMA 及CNAS标志的检测或检验报告复印件</w:t>
            </w:r>
          </w:p>
          <w:p w14:paraId="040F63A9">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12、内置自动定位、授时功能，防篡改功能。</w:t>
            </w:r>
          </w:p>
        </w:tc>
      </w:tr>
      <w:tr w14:paraId="5DFDF625">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5668B5D3">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sz w:val="22"/>
                <w:szCs w:val="24"/>
                <w:highlight w:val="none"/>
                <w14:textFill>
                  <w14:solidFill>
                    <w14:schemeClr w14:val="tx1"/>
                  </w14:solidFill>
                </w14:textFill>
              </w:rPr>
              <w:t>20</w:t>
            </w:r>
          </w:p>
        </w:tc>
        <w:tc>
          <w:tcPr>
            <w:tcW w:w="3051" w:type="dxa"/>
            <w:tcBorders>
              <w:top w:val="single" w:color="000000" w:sz="8" w:space="0"/>
              <w:left w:val="single" w:color="000000" w:sz="8" w:space="0"/>
              <w:bottom w:val="single" w:color="000000" w:sz="8" w:space="0"/>
              <w:right w:val="single" w:color="000000" w:sz="8" w:space="0"/>
            </w:tcBorders>
            <w:vAlign w:val="center"/>
          </w:tcPr>
          <w:p w14:paraId="62E25FB3">
            <w:pPr>
              <w:widowControl/>
              <w:snapToGrid w:val="0"/>
              <w:jc w:val="left"/>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声校准器</w:t>
            </w:r>
          </w:p>
        </w:tc>
        <w:tc>
          <w:tcPr>
            <w:tcW w:w="10247" w:type="dxa"/>
            <w:tcBorders>
              <w:top w:val="single" w:color="000000" w:sz="8" w:space="0"/>
              <w:left w:val="single" w:color="000000" w:sz="8" w:space="0"/>
              <w:bottom w:val="single" w:color="000000" w:sz="8" w:space="0"/>
              <w:right w:val="single" w:color="000000" w:sz="8" w:space="0"/>
            </w:tcBorders>
            <w:vAlign w:val="center"/>
          </w:tcPr>
          <w:p w14:paraId="7014477B">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1 符合标准：GB/T 15173-2010和IEC 60942:2003 </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2 声压级：114.0dB和94.0dB（以2×10-5 Pa为参考）</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3 声压级误差：±0.25 dB</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4 频率：1000.0 Hz±0.5 %</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5 谐波失真：≤1.5 %</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6 总失真：≤2.5 %</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7 使用电压范围：2.2 V ~ 3.4 V</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8 电池：2×1.5V 碱性电池 LR6（5号），最长连续使用时间7小时</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9</w:t>
            </w: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 稳定时间：小于15s</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1</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0</w:t>
            </w: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 使用环境：温度范围：-10 ℃ ~ +50 ℃</w:t>
            </w:r>
          </w:p>
        </w:tc>
      </w:tr>
      <w:tr w14:paraId="608F190F">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0B7F5369">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21</w:t>
            </w:r>
          </w:p>
        </w:tc>
        <w:tc>
          <w:tcPr>
            <w:tcW w:w="3051" w:type="dxa"/>
            <w:tcBorders>
              <w:top w:val="single" w:color="000000" w:sz="8" w:space="0"/>
              <w:left w:val="single" w:color="000000" w:sz="8" w:space="0"/>
              <w:bottom w:val="single" w:color="000000" w:sz="8" w:space="0"/>
              <w:right w:val="single" w:color="000000" w:sz="8" w:space="0"/>
            </w:tcBorders>
            <w:vAlign w:val="center"/>
          </w:tcPr>
          <w:p w14:paraId="36F0F70F">
            <w:pPr>
              <w:widowControl/>
              <w:snapToGrid w:val="0"/>
              <w:jc w:val="left"/>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高压灭菌锅</w:t>
            </w:r>
          </w:p>
        </w:tc>
        <w:tc>
          <w:tcPr>
            <w:tcW w:w="10247" w:type="dxa"/>
            <w:tcBorders>
              <w:top w:val="single" w:color="000000" w:sz="8" w:space="0"/>
              <w:left w:val="single" w:color="000000" w:sz="8" w:space="0"/>
              <w:bottom w:val="single" w:color="000000" w:sz="8" w:space="0"/>
              <w:right w:val="single" w:color="000000" w:sz="8" w:space="0"/>
            </w:tcBorders>
            <w:vAlign w:val="center"/>
          </w:tcPr>
          <w:p w14:paraId="4C814FCC">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1、实行微电脑智能控制系统：采用“LED”数显运行工作循环程序，灭菌结束（报警）后自动停机。</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▲2、安全联锁装置：采用电子与机械互动的安全控制结构，确保锅内有压力时联锁装置自动锁紧锅盖，避免误操作或使用不当而产生的不安全因素。</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3、锅盖启闭装置：采用移动式快开盖结构，使锅盖开启与锁紧安全可靠、灵活轻巧。</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4、预置程序：可预置固定程序分别针对液体、固体的灭菌。</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5、灭菌结束自动排汽。</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6、记忆储存系统：可储存上次灭菌程序，便于二次操作。</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7、操控台动态：数显屏与指示灯可显示设定的灭菌工作动态与运行的功能提示。</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▲8、安全装置：锁盖联动装置、电动式超温过压保护系统、防干烧保护功能、机械式安全泄压阀、过流短路保护系统、漏电保护装置。</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9</w:t>
            </w:r>
            <w:r>
              <w:rPr>
                <w:rFonts w:hint="eastAsia" w:ascii="宋体" w:hAnsi="宋体" w:eastAsia="宋体" w:cs="宋体"/>
                <w:color w:val="000000" w:themeColor="text1"/>
                <w:kern w:val="0"/>
                <w:sz w:val="22"/>
                <w:szCs w:val="22"/>
                <w:highlight w:val="none"/>
                <w:lang w:bidi="ar"/>
                <w14:textFill>
                  <w14:solidFill>
                    <w14:schemeClr w14:val="tx1"/>
                  </w14:solidFill>
                </w14:textFill>
              </w:rPr>
              <w:t>、配置：使用容积:29L，自动控制循环灭菌程序。</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10</w:t>
            </w:r>
            <w:r>
              <w:rPr>
                <w:rFonts w:hint="eastAsia" w:ascii="宋体" w:hAnsi="宋体" w:eastAsia="宋体" w:cs="宋体"/>
                <w:color w:val="000000" w:themeColor="text1"/>
                <w:kern w:val="0"/>
                <w:sz w:val="22"/>
                <w:szCs w:val="22"/>
                <w:highlight w:val="none"/>
                <w:lang w:bidi="ar"/>
                <w14:textFill>
                  <w14:solidFill>
                    <w14:schemeClr w14:val="tx1"/>
                  </w14:solidFill>
                </w14:textFill>
              </w:rPr>
              <w:t>、时间设定范围1-999min，额定工作压力0.142Mpa，</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11</w:t>
            </w:r>
            <w:r>
              <w:rPr>
                <w:rFonts w:hint="eastAsia" w:ascii="宋体" w:hAnsi="宋体" w:eastAsia="宋体" w:cs="宋体"/>
                <w:color w:val="000000" w:themeColor="text1"/>
                <w:kern w:val="0"/>
                <w:sz w:val="22"/>
                <w:szCs w:val="22"/>
                <w:highlight w:val="none"/>
                <w:lang w:bidi="ar"/>
                <w14:textFill>
                  <w14:solidFill>
                    <w14:schemeClr w14:val="tx1"/>
                  </w14:solidFill>
                </w14:textFill>
              </w:rPr>
              <w:t>、工作温度50-126℃ ,设计温度129℃。</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12、</w:t>
            </w:r>
            <w:r>
              <w:rPr>
                <w:rFonts w:hint="eastAsia" w:ascii="宋体" w:hAnsi="宋体" w:eastAsia="宋体" w:cs="宋体"/>
                <w:color w:val="000000" w:themeColor="text1"/>
                <w:kern w:val="0"/>
                <w:sz w:val="22"/>
                <w:szCs w:val="22"/>
                <w:highlight w:val="none"/>
                <w:lang w:bidi="ar"/>
                <w14:textFill>
                  <w14:solidFill>
                    <w14:schemeClr w14:val="tx1"/>
                  </w14:solidFill>
                </w14:textFill>
              </w:rPr>
              <w:t>电加热方式，自胀式密封圈。</w:t>
            </w:r>
          </w:p>
        </w:tc>
      </w:tr>
      <w:tr w14:paraId="3EE5B5F2">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05EC2089">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22</w:t>
            </w:r>
          </w:p>
        </w:tc>
        <w:tc>
          <w:tcPr>
            <w:tcW w:w="3051" w:type="dxa"/>
            <w:tcBorders>
              <w:top w:val="single" w:color="000000" w:sz="8" w:space="0"/>
              <w:left w:val="single" w:color="000000" w:sz="8" w:space="0"/>
              <w:bottom w:val="single" w:color="000000" w:sz="8" w:space="0"/>
              <w:right w:val="single" w:color="000000" w:sz="8" w:space="0"/>
            </w:tcBorders>
            <w:vAlign w:val="center"/>
          </w:tcPr>
          <w:p w14:paraId="32FF07AC">
            <w:pPr>
              <w:widowControl/>
              <w:snapToGrid w:val="0"/>
              <w:jc w:val="left"/>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实验室专用冰箱</w:t>
            </w:r>
          </w:p>
        </w:tc>
        <w:tc>
          <w:tcPr>
            <w:tcW w:w="10247" w:type="dxa"/>
            <w:tcBorders>
              <w:top w:val="single" w:color="000000" w:sz="8" w:space="0"/>
              <w:left w:val="single" w:color="000000" w:sz="8" w:space="0"/>
              <w:bottom w:val="single" w:color="000000" w:sz="8" w:space="0"/>
              <w:right w:val="single" w:color="000000" w:sz="8" w:space="0"/>
            </w:tcBorders>
            <w:noWrap/>
            <w:vAlign w:val="center"/>
          </w:tcPr>
          <w:p w14:paraId="7712EDB9">
            <w:pPr>
              <w:widowControl/>
              <w:snapToGrid w:val="0"/>
              <w:jc w:val="left"/>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ascii="宋体" w:hAnsi="宋体" w:eastAsia="宋体" w:cs="宋体"/>
                <w:color w:val="000000" w:themeColor="text1"/>
                <w:sz w:val="24"/>
                <w:szCs w:val="24"/>
                <w:highlight w:val="none"/>
                <w14:textFill>
                  <w14:solidFill>
                    <w14:schemeClr w14:val="tx1"/>
                  </w14:solidFill>
                </w14:textFill>
              </w:rPr>
              <w:t>实验室专用1台，标配。</w:t>
            </w:r>
          </w:p>
          <w:p w14:paraId="2BB05FDA">
            <w:pPr>
              <w:widowControl/>
              <w:snapToGrid w:val="0"/>
              <w:jc w:val="left"/>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ascii="宋体" w:hAnsi="宋体" w:eastAsia="宋体" w:cs="宋体"/>
                <w:color w:val="000000" w:themeColor="text1"/>
                <w:sz w:val="24"/>
                <w:szCs w:val="24"/>
                <w:highlight w:val="none"/>
                <w14:textFill>
                  <w14:solidFill>
                    <w14:schemeClr w14:val="tx1"/>
                  </w14:solidFill>
                </w14:textFill>
              </w:rPr>
              <w:t>1.技术参数</w:t>
            </w:r>
          </w:p>
          <w:p w14:paraId="38D93C00">
            <w:pPr>
              <w:widowControl/>
              <w:snapToGrid w:val="0"/>
              <w:jc w:val="left"/>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ascii="宋体" w:hAnsi="宋体" w:eastAsia="宋体" w:cs="宋体"/>
                <w:color w:val="000000" w:themeColor="text1"/>
                <w:sz w:val="24"/>
                <w:szCs w:val="24"/>
                <w:highlight w:val="none"/>
                <w14:textFill>
                  <w14:solidFill>
                    <w14:schemeClr w14:val="tx1"/>
                  </w14:solidFill>
                </w14:textFill>
              </w:rPr>
              <w:t>1.1有效容积：箱内有效容积≥300L；</w:t>
            </w:r>
          </w:p>
          <w:p w14:paraId="05AFD209">
            <w:pPr>
              <w:widowControl/>
              <w:snapToGrid w:val="0"/>
              <w:jc w:val="left"/>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r>
              <w:rPr>
                <w:rFonts w:ascii="宋体" w:hAnsi="宋体" w:eastAsia="宋体" w:cs="宋体"/>
                <w:color w:val="000000" w:themeColor="text1"/>
                <w:sz w:val="24"/>
                <w:szCs w:val="24"/>
                <w:highlight w:val="none"/>
                <w14:textFill>
                  <w14:solidFill>
                    <w14:schemeClr w14:val="tx1"/>
                  </w14:solidFill>
                </w14:textFill>
              </w:rPr>
              <w:t>1.2温度控制:微电脑控制，箱内控温范围2-8℃，控温精度显示精度均为0.1℃；</w:t>
            </w:r>
          </w:p>
          <w:p w14:paraId="5178FAE3">
            <w:pPr>
              <w:widowControl/>
              <w:snapToGrid w:val="0"/>
              <w:jc w:val="left"/>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ascii="宋体" w:hAnsi="宋体" w:eastAsia="宋体" w:cs="宋体"/>
                <w:color w:val="000000" w:themeColor="text1"/>
                <w:sz w:val="24"/>
                <w:szCs w:val="24"/>
                <w:highlight w:val="none"/>
                <w14:textFill>
                  <w14:solidFill>
                    <w14:schemeClr w14:val="tx1"/>
                  </w14:solidFill>
                </w14:textFill>
              </w:rPr>
              <w:t>1.3温度均匀性：温度均匀度≤3℃，波动度≤4.5℃；</w:t>
            </w:r>
          </w:p>
          <w:p w14:paraId="31052C00">
            <w:pPr>
              <w:widowControl/>
              <w:snapToGrid w:val="0"/>
              <w:jc w:val="left"/>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ascii="宋体" w:hAnsi="宋体" w:eastAsia="宋体" w:cs="宋体"/>
                <w:color w:val="000000" w:themeColor="text1"/>
                <w:sz w:val="24"/>
                <w:szCs w:val="24"/>
                <w:highlight w:val="none"/>
                <w14:textFill>
                  <w14:solidFill>
                    <w14:schemeClr w14:val="tx1"/>
                  </w14:solidFill>
                </w14:textFill>
              </w:rPr>
              <w:t>1.4具备多重故障报警和门锁</w:t>
            </w:r>
          </w:p>
        </w:tc>
      </w:tr>
      <w:tr w14:paraId="59C1BF59">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6E786376">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23</w:t>
            </w:r>
          </w:p>
        </w:tc>
        <w:tc>
          <w:tcPr>
            <w:tcW w:w="3051" w:type="dxa"/>
            <w:tcBorders>
              <w:top w:val="single" w:color="000000" w:sz="8" w:space="0"/>
              <w:left w:val="single" w:color="000000" w:sz="8" w:space="0"/>
              <w:bottom w:val="single" w:color="000000" w:sz="8" w:space="0"/>
              <w:right w:val="single" w:color="000000" w:sz="8" w:space="0"/>
            </w:tcBorders>
            <w:vAlign w:val="center"/>
          </w:tcPr>
          <w:p w14:paraId="5EEB6C66">
            <w:pPr>
              <w:widowControl/>
              <w:snapToGrid w:val="0"/>
              <w:jc w:val="left"/>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瓶口分液器</w:t>
            </w:r>
          </w:p>
        </w:tc>
        <w:tc>
          <w:tcPr>
            <w:tcW w:w="10247" w:type="dxa"/>
            <w:tcBorders>
              <w:top w:val="single" w:color="000000" w:sz="8" w:space="0"/>
              <w:left w:val="single" w:color="000000" w:sz="8" w:space="0"/>
              <w:bottom w:val="single" w:color="000000" w:sz="8" w:space="0"/>
              <w:right w:val="single" w:color="000000" w:sz="8" w:space="0"/>
            </w:tcBorders>
            <w:noWrap/>
            <w:vAlign w:val="center"/>
          </w:tcPr>
          <w:p w14:paraId="7E2E1C6C">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1.配置及配件</w:t>
            </w:r>
          </w:p>
          <w:p w14:paraId="1826BBE1">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（采购数量按招标清单为准，这里只表示每台采购设备应配置的备件或耗材数量）</w:t>
            </w:r>
          </w:p>
          <w:tbl>
            <w:tblPr>
              <w:tblStyle w:val="23"/>
              <w:tblW w:w="85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
              <w:gridCol w:w="1493"/>
              <w:gridCol w:w="5172"/>
              <w:gridCol w:w="994"/>
            </w:tblGrid>
            <w:tr w14:paraId="76EE9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864" w:type="dxa"/>
                  <w:vAlign w:val="center"/>
                </w:tcPr>
                <w:p w14:paraId="60A45CC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p>
              </w:tc>
              <w:tc>
                <w:tcPr>
                  <w:tcW w:w="1493" w:type="dxa"/>
                  <w:vAlign w:val="center"/>
                </w:tcPr>
                <w:p w14:paraId="3273B82E">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名称</w:t>
                  </w:r>
                </w:p>
              </w:tc>
              <w:tc>
                <w:tcPr>
                  <w:tcW w:w="5172" w:type="dxa"/>
                  <w:vAlign w:val="center"/>
                </w:tcPr>
                <w:p w14:paraId="1200D723">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说明</w:t>
                  </w:r>
                </w:p>
              </w:tc>
              <w:tc>
                <w:tcPr>
                  <w:tcW w:w="994" w:type="dxa"/>
                  <w:vAlign w:val="center"/>
                </w:tcPr>
                <w:p w14:paraId="57F09733">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数量</w:t>
                  </w:r>
                </w:p>
              </w:tc>
            </w:tr>
            <w:tr w14:paraId="291D0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4" w:type="dxa"/>
                  <w:vAlign w:val="center"/>
                </w:tcPr>
                <w:p w14:paraId="2EDD0B6A">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主机</w:t>
                  </w:r>
                </w:p>
              </w:tc>
              <w:tc>
                <w:tcPr>
                  <w:tcW w:w="1493" w:type="dxa"/>
                  <w:vAlign w:val="center"/>
                </w:tcPr>
                <w:p w14:paraId="12550A5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瓶口分液器</w:t>
                  </w:r>
                </w:p>
              </w:tc>
              <w:tc>
                <w:tcPr>
                  <w:tcW w:w="5172" w:type="dxa"/>
                  <w:vAlign w:val="center"/>
                </w:tcPr>
                <w:p w14:paraId="6A08814E">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含：（0.5-5）ml；（5-50）ml；（10-100）ml各一台</w:t>
                  </w:r>
                </w:p>
              </w:tc>
              <w:tc>
                <w:tcPr>
                  <w:tcW w:w="994" w:type="dxa"/>
                  <w:vAlign w:val="center"/>
                </w:tcPr>
                <w:p w14:paraId="1CBAFBA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1套</w:t>
                  </w:r>
                </w:p>
              </w:tc>
            </w:tr>
            <w:tr w14:paraId="37CCC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4" w:type="dxa"/>
                  <w:vAlign w:val="center"/>
                </w:tcPr>
                <w:p w14:paraId="28C6F045">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配件</w:t>
                  </w:r>
                </w:p>
              </w:tc>
              <w:tc>
                <w:tcPr>
                  <w:tcW w:w="1493" w:type="dxa"/>
                  <w:vAlign w:val="center"/>
                </w:tcPr>
                <w:p w14:paraId="587615EB">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进液管</w:t>
                  </w:r>
                </w:p>
              </w:tc>
              <w:tc>
                <w:tcPr>
                  <w:tcW w:w="5172" w:type="dxa"/>
                  <w:vAlign w:val="center"/>
                </w:tcPr>
                <w:p w14:paraId="549F5B2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p>
              </w:tc>
              <w:tc>
                <w:tcPr>
                  <w:tcW w:w="994" w:type="dxa"/>
                  <w:vAlign w:val="center"/>
                </w:tcPr>
                <w:p w14:paraId="4C8F9C2F">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2根/台</w:t>
                  </w:r>
                </w:p>
              </w:tc>
            </w:tr>
          </w:tbl>
          <w:p w14:paraId="0FEF0CA9">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2.技术指标</w:t>
            </w:r>
          </w:p>
          <w:p w14:paraId="2BD723FC">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2.1能够量取盐酸、浓硫酸、硝酸或正己烷、三氯甲烷等强腐蚀性、挥发性试剂（根据用户需求选配）。</w:t>
            </w:r>
          </w:p>
          <w:p w14:paraId="58C48234">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2.2具有极强的化学耐受性；</w:t>
            </w:r>
          </w:p>
          <w:p w14:paraId="5F25758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2.3可高温消毒灭菌；</w:t>
            </w:r>
          </w:p>
          <w:p w14:paraId="7F7A19F5">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2.4采用PTFE、FEP、哈氏合金、 PP等材料制成；</w:t>
            </w:r>
          </w:p>
          <w:p w14:paraId="1A35E700">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2.5最大耐压500mbar，最大耐粘性500mm2/s，最大耐液体温度为40℃，最大耐液体密度2.2g/cm3；</w:t>
            </w:r>
          </w:p>
          <w:p w14:paraId="3636A09F">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2.6配备两根进液管，适配不同高度的瓶子；</w:t>
            </w:r>
          </w:p>
          <w:p w14:paraId="018737F5">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2.7带有回流阀，可轻松回收多余试剂。</w:t>
            </w:r>
          </w:p>
          <w:p w14:paraId="2F9756C1">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3.技术参数:</w:t>
            </w:r>
          </w:p>
          <w:p w14:paraId="325EAA45">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A= 准确度 CV=偏差系数</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6"/>
              <w:gridCol w:w="2545"/>
              <w:gridCol w:w="1191"/>
              <w:gridCol w:w="1199"/>
              <w:gridCol w:w="1191"/>
              <w:gridCol w:w="1009"/>
            </w:tblGrid>
            <w:tr w14:paraId="74169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439" w:type="pct"/>
                  <w:vMerge w:val="restart"/>
                  <w:vAlign w:val="center"/>
                </w:tcPr>
                <w:p w14:paraId="5B8B1151">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量程范围ml</w:t>
                  </w:r>
                </w:p>
              </w:tc>
              <w:tc>
                <w:tcPr>
                  <w:tcW w:w="1269" w:type="pct"/>
                  <w:vMerge w:val="restart"/>
                  <w:vAlign w:val="center"/>
                </w:tcPr>
                <w:p w14:paraId="06C1F306">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刻度</w:t>
                  </w:r>
                  <w:r>
                    <w:rPr>
                      <w:rFonts w:hint="eastAsia" w:ascii="宋体" w:hAnsi="宋体" w:eastAsia="宋体" w:cs="宋体"/>
                      <w:color w:val="000000" w:themeColor="text1"/>
                      <w:kern w:val="0"/>
                      <w:sz w:val="22"/>
                      <w:szCs w:val="22"/>
                      <w:highlight w:val="none"/>
                      <w:lang w:bidi="ar"/>
                      <w14:textFill>
                        <w14:solidFill>
                          <w14:schemeClr w14:val="tx1"/>
                        </w14:solidFill>
                      </w14:textFill>
                    </w:rPr>
                    <w:br w:type="textWrapping"/>
                  </w:r>
                  <w:r>
                    <w:rPr>
                      <w:rFonts w:hint="eastAsia" w:ascii="宋体" w:hAnsi="宋体" w:eastAsia="宋体" w:cs="宋体"/>
                      <w:color w:val="000000" w:themeColor="text1"/>
                      <w:kern w:val="0"/>
                      <w:sz w:val="22"/>
                      <w:szCs w:val="22"/>
                      <w:highlight w:val="none"/>
                      <w:lang w:bidi="ar"/>
                      <w14:textFill>
                        <w14:solidFill>
                          <w14:schemeClr w14:val="tx1"/>
                        </w14:solidFill>
                      </w14:textFill>
                    </w:rPr>
                    <w:t>ml</w:t>
                  </w:r>
                </w:p>
              </w:tc>
              <w:tc>
                <w:tcPr>
                  <w:tcW w:w="1192" w:type="pct"/>
                  <w:gridSpan w:val="2"/>
                  <w:vAlign w:val="center"/>
                </w:tcPr>
                <w:p w14:paraId="5106235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A≤±</w:t>
                  </w:r>
                </w:p>
              </w:tc>
              <w:tc>
                <w:tcPr>
                  <w:tcW w:w="1097" w:type="pct"/>
                  <w:gridSpan w:val="2"/>
                  <w:vAlign w:val="center"/>
                </w:tcPr>
                <w:p w14:paraId="2806260C">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CV≤</w:t>
                  </w:r>
                </w:p>
              </w:tc>
            </w:tr>
            <w:tr w14:paraId="25B02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439" w:type="pct"/>
                  <w:vMerge w:val="continue"/>
                  <w:vAlign w:val="center"/>
                </w:tcPr>
                <w:p w14:paraId="0CDB24C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p>
              </w:tc>
              <w:tc>
                <w:tcPr>
                  <w:tcW w:w="1269" w:type="pct"/>
                  <w:vMerge w:val="continue"/>
                  <w:vAlign w:val="center"/>
                </w:tcPr>
                <w:p w14:paraId="0FEF2A75">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p>
              </w:tc>
              <w:tc>
                <w:tcPr>
                  <w:tcW w:w="594" w:type="pct"/>
                  <w:vAlign w:val="center"/>
                </w:tcPr>
                <w:p w14:paraId="42B5CF3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p>
              </w:tc>
              <w:tc>
                <w:tcPr>
                  <w:tcW w:w="598" w:type="pct"/>
                  <w:vAlign w:val="center"/>
                </w:tcPr>
                <w:p w14:paraId="4261CE1F">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μl</w:t>
                  </w:r>
                </w:p>
              </w:tc>
              <w:tc>
                <w:tcPr>
                  <w:tcW w:w="594" w:type="pct"/>
                  <w:vAlign w:val="center"/>
                </w:tcPr>
                <w:p w14:paraId="4A68CF6B">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p>
              </w:tc>
              <w:tc>
                <w:tcPr>
                  <w:tcW w:w="503" w:type="pct"/>
                  <w:vAlign w:val="center"/>
                </w:tcPr>
                <w:p w14:paraId="574313E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μl</w:t>
                  </w:r>
                </w:p>
              </w:tc>
            </w:tr>
            <w:tr w14:paraId="6936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439" w:type="pct"/>
                  <w:vAlign w:val="center"/>
                </w:tcPr>
                <w:p w14:paraId="3C360A48">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0.5-5</w:t>
                  </w:r>
                </w:p>
              </w:tc>
              <w:tc>
                <w:tcPr>
                  <w:tcW w:w="1269" w:type="pct"/>
                  <w:vAlign w:val="center"/>
                </w:tcPr>
                <w:p w14:paraId="5E879299">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0.1</w:t>
                  </w:r>
                </w:p>
              </w:tc>
              <w:tc>
                <w:tcPr>
                  <w:tcW w:w="594" w:type="pct"/>
                  <w:vAlign w:val="center"/>
                </w:tcPr>
                <w:p w14:paraId="5BE2EDE5">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0.5</w:t>
                  </w:r>
                </w:p>
              </w:tc>
              <w:tc>
                <w:tcPr>
                  <w:tcW w:w="598" w:type="pct"/>
                  <w:vAlign w:val="center"/>
                </w:tcPr>
                <w:p w14:paraId="3A90C42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25</w:t>
                  </w:r>
                </w:p>
              </w:tc>
              <w:tc>
                <w:tcPr>
                  <w:tcW w:w="594" w:type="pct"/>
                  <w:vAlign w:val="center"/>
                </w:tcPr>
                <w:p w14:paraId="52A1ADC2">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0.2</w:t>
                  </w:r>
                </w:p>
              </w:tc>
              <w:tc>
                <w:tcPr>
                  <w:tcW w:w="503" w:type="pct"/>
                  <w:vAlign w:val="center"/>
                </w:tcPr>
                <w:p w14:paraId="3CEC24CE">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10</w:t>
                  </w:r>
                </w:p>
              </w:tc>
            </w:tr>
            <w:tr w14:paraId="0CDCA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439" w:type="pct"/>
                  <w:vAlign w:val="center"/>
                </w:tcPr>
                <w:p w14:paraId="51818292">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5.0-50</w:t>
                  </w:r>
                </w:p>
              </w:tc>
              <w:tc>
                <w:tcPr>
                  <w:tcW w:w="1269" w:type="pct"/>
                  <w:vAlign w:val="center"/>
                </w:tcPr>
                <w:p w14:paraId="55B34228">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1.0</w:t>
                  </w:r>
                </w:p>
              </w:tc>
              <w:tc>
                <w:tcPr>
                  <w:tcW w:w="594" w:type="pct"/>
                  <w:vAlign w:val="center"/>
                </w:tcPr>
                <w:p w14:paraId="14BB4D32">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0.5</w:t>
                  </w:r>
                </w:p>
              </w:tc>
              <w:tc>
                <w:tcPr>
                  <w:tcW w:w="598" w:type="pct"/>
                  <w:vAlign w:val="center"/>
                </w:tcPr>
                <w:p w14:paraId="63015EB9">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250</w:t>
                  </w:r>
                </w:p>
              </w:tc>
              <w:tc>
                <w:tcPr>
                  <w:tcW w:w="594" w:type="pct"/>
                  <w:vAlign w:val="center"/>
                </w:tcPr>
                <w:p w14:paraId="0C86A0C5">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0.2</w:t>
                  </w:r>
                </w:p>
              </w:tc>
              <w:tc>
                <w:tcPr>
                  <w:tcW w:w="503" w:type="pct"/>
                  <w:vAlign w:val="center"/>
                </w:tcPr>
                <w:p w14:paraId="744808E1">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100</w:t>
                  </w:r>
                </w:p>
              </w:tc>
            </w:tr>
            <w:tr w14:paraId="04992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439" w:type="pct"/>
                  <w:vAlign w:val="center"/>
                </w:tcPr>
                <w:p w14:paraId="7EC50365">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10-100</w:t>
                  </w:r>
                </w:p>
              </w:tc>
              <w:tc>
                <w:tcPr>
                  <w:tcW w:w="1269" w:type="pct"/>
                  <w:vAlign w:val="center"/>
                </w:tcPr>
                <w:p w14:paraId="5E87E1E6">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2.0</w:t>
                  </w:r>
                </w:p>
              </w:tc>
              <w:tc>
                <w:tcPr>
                  <w:tcW w:w="594" w:type="pct"/>
                  <w:vAlign w:val="center"/>
                </w:tcPr>
                <w:p w14:paraId="1727EE22">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0.5</w:t>
                  </w:r>
                </w:p>
              </w:tc>
              <w:tc>
                <w:tcPr>
                  <w:tcW w:w="598" w:type="pct"/>
                  <w:vAlign w:val="center"/>
                </w:tcPr>
                <w:p w14:paraId="255BB130">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500</w:t>
                  </w:r>
                </w:p>
              </w:tc>
              <w:tc>
                <w:tcPr>
                  <w:tcW w:w="594" w:type="pct"/>
                  <w:vAlign w:val="center"/>
                </w:tcPr>
                <w:p w14:paraId="0AB6E954">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0.2</w:t>
                  </w:r>
                </w:p>
              </w:tc>
              <w:tc>
                <w:tcPr>
                  <w:tcW w:w="503" w:type="pct"/>
                  <w:vAlign w:val="center"/>
                </w:tcPr>
                <w:p w14:paraId="0D0CDC42">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200</w:t>
                  </w:r>
                </w:p>
              </w:tc>
            </w:tr>
          </w:tbl>
          <w:p w14:paraId="0406682F">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p>
        </w:tc>
      </w:tr>
      <w:tr w14:paraId="35E6A37D">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45510661">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24</w:t>
            </w:r>
          </w:p>
        </w:tc>
        <w:tc>
          <w:tcPr>
            <w:tcW w:w="3051" w:type="dxa"/>
            <w:tcBorders>
              <w:top w:val="single" w:color="000000" w:sz="8" w:space="0"/>
              <w:left w:val="single" w:color="000000" w:sz="8" w:space="0"/>
              <w:bottom w:val="single" w:color="000000" w:sz="8" w:space="0"/>
              <w:right w:val="single" w:color="000000" w:sz="8" w:space="0"/>
            </w:tcBorders>
            <w:vAlign w:val="center"/>
          </w:tcPr>
          <w:p w14:paraId="45AC63CC">
            <w:pPr>
              <w:widowControl/>
              <w:snapToGrid w:val="0"/>
              <w:jc w:val="left"/>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氟化物离子计</w:t>
            </w:r>
          </w:p>
        </w:tc>
        <w:tc>
          <w:tcPr>
            <w:tcW w:w="10247" w:type="dxa"/>
            <w:tcBorders>
              <w:top w:val="single" w:color="000000" w:sz="8" w:space="0"/>
              <w:left w:val="single" w:color="000000" w:sz="8" w:space="0"/>
              <w:bottom w:val="single" w:color="000000" w:sz="8" w:space="0"/>
              <w:right w:val="single" w:color="000000" w:sz="8" w:space="0"/>
            </w:tcBorders>
            <w:noWrap/>
            <w:vAlign w:val="center"/>
          </w:tcPr>
          <w:p w14:paraId="30DA11CA">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1.主机配置及配件</w:t>
            </w:r>
          </w:p>
          <w:p w14:paraId="022EEFA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（采购数量按招标清单为准，这里只表示每台采购设备应配置的备件或耗材数量）</w:t>
            </w:r>
          </w:p>
          <w:tbl>
            <w:tblPr>
              <w:tblStyle w:val="23"/>
              <w:tblW w:w="8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
              <w:gridCol w:w="3538"/>
              <w:gridCol w:w="2086"/>
              <w:gridCol w:w="1991"/>
            </w:tblGrid>
            <w:tr w14:paraId="6A088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906" w:type="dxa"/>
                  <w:vAlign w:val="center"/>
                </w:tcPr>
                <w:p w14:paraId="368AEFF6">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p>
              </w:tc>
              <w:tc>
                <w:tcPr>
                  <w:tcW w:w="3538" w:type="dxa"/>
                  <w:vAlign w:val="center"/>
                </w:tcPr>
                <w:p w14:paraId="4AB56B84">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名称</w:t>
                  </w:r>
                </w:p>
              </w:tc>
              <w:tc>
                <w:tcPr>
                  <w:tcW w:w="2086" w:type="dxa"/>
                  <w:vAlign w:val="center"/>
                </w:tcPr>
                <w:p w14:paraId="03B0B09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说明</w:t>
                  </w:r>
                </w:p>
              </w:tc>
              <w:tc>
                <w:tcPr>
                  <w:tcW w:w="1991" w:type="dxa"/>
                  <w:vAlign w:val="center"/>
                </w:tcPr>
                <w:p w14:paraId="2A53A4D3">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数量（台/套）</w:t>
                  </w:r>
                </w:p>
              </w:tc>
            </w:tr>
            <w:tr w14:paraId="248E6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06" w:type="dxa"/>
                  <w:vAlign w:val="center"/>
                </w:tcPr>
                <w:p w14:paraId="53A8CEA1">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主机</w:t>
                  </w:r>
                </w:p>
              </w:tc>
              <w:tc>
                <w:tcPr>
                  <w:tcW w:w="3538" w:type="dxa"/>
                  <w:vAlign w:val="center"/>
                </w:tcPr>
                <w:p w14:paraId="0CAB2AB0">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氟化物离子计</w:t>
                  </w:r>
                </w:p>
              </w:tc>
              <w:tc>
                <w:tcPr>
                  <w:tcW w:w="2086" w:type="dxa"/>
                  <w:vAlign w:val="center"/>
                </w:tcPr>
                <w:p w14:paraId="5A9288B9">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含便携式户外箱</w:t>
                  </w:r>
                </w:p>
              </w:tc>
              <w:tc>
                <w:tcPr>
                  <w:tcW w:w="1991" w:type="dxa"/>
                  <w:vAlign w:val="center"/>
                </w:tcPr>
                <w:p w14:paraId="2DF7C816">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w:t>
                  </w:r>
                </w:p>
              </w:tc>
            </w:tr>
            <w:tr w14:paraId="19E09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 w:type="dxa"/>
                  <w:vMerge w:val="restart"/>
                  <w:vAlign w:val="center"/>
                </w:tcPr>
                <w:p w14:paraId="67107CB3">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配件</w:t>
                  </w:r>
                </w:p>
              </w:tc>
              <w:tc>
                <w:tcPr>
                  <w:tcW w:w="3538" w:type="dxa"/>
                  <w:vAlign w:val="center"/>
                </w:tcPr>
                <w:p w14:paraId="0A417C2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电源线</w:t>
                  </w:r>
                </w:p>
              </w:tc>
              <w:tc>
                <w:tcPr>
                  <w:tcW w:w="2086" w:type="dxa"/>
                  <w:vAlign w:val="center"/>
                </w:tcPr>
                <w:p w14:paraId="33612B4B">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p>
              </w:tc>
              <w:tc>
                <w:tcPr>
                  <w:tcW w:w="1991" w:type="dxa"/>
                  <w:vAlign w:val="center"/>
                </w:tcPr>
                <w:p w14:paraId="7E7A7F11">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w:t>
                  </w:r>
                </w:p>
              </w:tc>
            </w:tr>
            <w:tr w14:paraId="65920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 w:type="dxa"/>
                  <w:vMerge w:val="continue"/>
                  <w:vAlign w:val="center"/>
                </w:tcPr>
                <w:p w14:paraId="0209E433">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p>
              </w:tc>
              <w:tc>
                <w:tcPr>
                  <w:tcW w:w="3538" w:type="dxa"/>
                  <w:vAlign w:val="center"/>
                </w:tcPr>
                <w:p w14:paraId="36A4E430">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搅拌器</w:t>
                  </w:r>
                </w:p>
              </w:tc>
              <w:tc>
                <w:tcPr>
                  <w:tcW w:w="2086" w:type="dxa"/>
                  <w:vAlign w:val="center"/>
                </w:tcPr>
                <w:p w14:paraId="03F92E21">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p>
              </w:tc>
              <w:tc>
                <w:tcPr>
                  <w:tcW w:w="1991" w:type="dxa"/>
                  <w:vAlign w:val="center"/>
                </w:tcPr>
                <w:p w14:paraId="3278613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1台</w:t>
                  </w:r>
                </w:p>
              </w:tc>
            </w:tr>
            <w:tr w14:paraId="660DB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 w:type="dxa"/>
                  <w:vMerge w:val="continue"/>
                  <w:vAlign w:val="center"/>
                </w:tcPr>
                <w:p w14:paraId="2CCAE3AA">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p>
              </w:tc>
              <w:tc>
                <w:tcPr>
                  <w:tcW w:w="3538" w:type="dxa"/>
                  <w:vAlign w:val="center"/>
                </w:tcPr>
                <w:p w14:paraId="3C147AF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氟离子电极</w:t>
                  </w:r>
                </w:p>
              </w:tc>
              <w:tc>
                <w:tcPr>
                  <w:tcW w:w="2086" w:type="dxa"/>
                  <w:vAlign w:val="center"/>
                </w:tcPr>
                <w:p w14:paraId="248E174A">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p>
              </w:tc>
              <w:tc>
                <w:tcPr>
                  <w:tcW w:w="1991" w:type="dxa"/>
                  <w:vAlign w:val="center"/>
                </w:tcPr>
                <w:p w14:paraId="678021A6">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1支</w:t>
                  </w:r>
                </w:p>
              </w:tc>
            </w:tr>
            <w:tr w14:paraId="5CE89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 w:type="dxa"/>
                  <w:vMerge w:val="continue"/>
                  <w:vAlign w:val="center"/>
                </w:tcPr>
                <w:p w14:paraId="3B61621B">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p>
              </w:tc>
              <w:tc>
                <w:tcPr>
                  <w:tcW w:w="3538" w:type="dxa"/>
                  <w:vAlign w:val="center"/>
                </w:tcPr>
                <w:p w14:paraId="3258C76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参比电极</w:t>
                  </w:r>
                </w:p>
              </w:tc>
              <w:tc>
                <w:tcPr>
                  <w:tcW w:w="2086" w:type="dxa"/>
                  <w:vAlign w:val="center"/>
                </w:tcPr>
                <w:p w14:paraId="65CEBA64">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p>
              </w:tc>
              <w:tc>
                <w:tcPr>
                  <w:tcW w:w="1991" w:type="dxa"/>
                  <w:vAlign w:val="center"/>
                </w:tcPr>
                <w:p w14:paraId="42CCC3C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1支</w:t>
                  </w:r>
                </w:p>
              </w:tc>
            </w:tr>
            <w:tr w14:paraId="5EC0C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 w:type="dxa"/>
                  <w:vMerge w:val="continue"/>
                  <w:vAlign w:val="center"/>
                </w:tcPr>
                <w:p w14:paraId="240FA273">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p>
              </w:tc>
              <w:tc>
                <w:tcPr>
                  <w:tcW w:w="3538" w:type="dxa"/>
                  <w:vAlign w:val="center"/>
                </w:tcPr>
                <w:p w14:paraId="34871A91">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温度电极</w:t>
                  </w:r>
                </w:p>
              </w:tc>
              <w:tc>
                <w:tcPr>
                  <w:tcW w:w="2086" w:type="dxa"/>
                  <w:vAlign w:val="center"/>
                </w:tcPr>
                <w:p w14:paraId="14028C74">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p>
              </w:tc>
              <w:tc>
                <w:tcPr>
                  <w:tcW w:w="1991" w:type="dxa"/>
                  <w:vAlign w:val="center"/>
                </w:tcPr>
                <w:p w14:paraId="0F30B5D0">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1支</w:t>
                  </w:r>
                </w:p>
              </w:tc>
            </w:tr>
            <w:tr w14:paraId="44DFF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 w:type="dxa"/>
                  <w:vMerge w:val="continue"/>
                  <w:vAlign w:val="center"/>
                </w:tcPr>
                <w:p w14:paraId="49EEAB1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p>
              </w:tc>
              <w:tc>
                <w:tcPr>
                  <w:tcW w:w="3538" w:type="dxa"/>
                  <w:vAlign w:val="center"/>
                </w:tcPr>
                <w:p w14:paraId="78E4818A">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多功能电极架</w:t>
                  </w:r>
                </w:p>
              </w:tc>
              <w:tc>
                <w:tcPr>
                  <w:tcW w:w="2086" w:type="dxa"/>
                  <w:vAlign w:val="center"/>
                </w:tcPr>
                <w:p w14:paraId="2AE86FF1">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p>
              </w:tc>
              <w:tc>
                <w:tcPr>
                  <w:tcW w:w="1991" w:type="dxa"/>
                  <w:vAlign w:val="center"/>
                </w:tcPr>
                <w:p w14:paraId="432B7150">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1套</w:t>
                  </w:r>
                </w:p>
              </w:tc>
            </w:tr>
            <w:tr w14:paraId="64033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 w:type="dxa"/>
                  <w:vMerge w:val="continue"/>
                  <w:vAlign w:val="center"/>
                </w:tcPr>
                <w:p w14:paraId="4EF66198">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p>
              </w:tc>
              <w:tc>
                <w:tcPr>
                  <w:tcW w:w="3538" w:type="dxa"/>
                  <w:vAlign w:val="center"/>
                </w:tcPr>
                <w:p w14:paraId="1241039B">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电源适配器DC 9V(内正外负)</w:t>
                  </w:r>
                </w:p>
              </w:tc>
              <w:tc>
                <w:tcPr>
                  <w:tcW w:w="2086" w:type="dxa"/>
                  <w:vAlign w:val="center"/>
                </w:tcPr>
                <w:p w14:paraId="64772C5C">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p>
              </w:tc>
              <w:tc>
                <w:tcPr>
                  <w:tcW w:w="1991" w:type="dxa"/>
                  <w:vAlign w:val="center"/>
                </w:tcPr>
                <w:p w14:paraId="620DEAF0">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1个</w:t>
                  </w:r>
                </w:p>
              </w:tc>
            </w:tr>
            <w:tr w14:paraId="59104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 w:type="dxa"/>
                  <w:vMerge w:val="continue"/>
                  <w:vAlign w:val="center"/>
                </w:tcPr>
                <w:p w14:paraId="6342850E">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p>
              </w:tc>
              <w:tc>
                <w:tcPr>
                  <w:tcW w:w="3538" w:type="dxa"/>
                  <w:vAlign w:val="center"/>
                </w:tcPr>
                <w:p w14:paraId="48461EA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通用USB连接线</w:t>
                  </w:r>
                </w:p>
              </w:tc>
              <w:tc>
                <w:tcPr>
                  <w:tcW w:w="2086" w:type="dxa"/>
                  <w:vAlign w:val="center"/>
                </w:tcPr>
                <w:p w14:paraId="4BDE2E8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p>
              </w:tc>
              <w:tc>
                <w:tcPr>
                  <w:tcW w:w="1991" w:type="dxa"/>
                  <w:vAlign w:val="center"/>
                </w:tcPr>
                <w:p w14:paraId="5A66A778">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1根</w:t>
                  </w:r>
                </w:p>
              </w:tc>
            </w:tr>
            <w:tr w14:paraId="72E34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 w:type="dxa"/>
                  <w:vMerge w:val="continue"/>
                  <w:vAlign w:val="center"/>
                </w:tcPr>
                <w:p w14:paraId="38B4C5EA">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p>
              </w:tc>
              <w:tc>
                <w:tcPr>
                  <w:tcW w:w="3538" w:type="dxa"/>
                  <w:vAlign w:val="center"/>
                </w:tcPr>
                <w:p w14:paraId="78166C90">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防尘罩(按键款)</w:t>
                  </w:r>
                </w:p>
              </w:tc>
              <w:tc>
                <w:tcPr>
                  <w:tcW w:w="2086" w:type="dxa"/>
                  <w:vAlign w:val="center"/>
                </w:tcPr>
                <w:p w14:paraId="61354BFA">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p>
              </w:tc>
              <w:tc>
                <w:tcPr>
                  <w:tcW w:w="1991" w:type="dxa"/>
                  <w:vAlign w:val="center"/>
                </w:tcPr>
                <w:p w14:paraId="5DA79E5A">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1只</w:t>
                  </w:r>
                </w:p>
              </w:tc>
            </w:tr>
          </w:tbl>
          <w:p w14:paraId="1AF6BD1B">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2.设备功能及要求</w:t>
            </w:r>
          </w:p>
          <w:p w14:paraId="510831E4">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用于地表水、地下水及工业废水（如化工、电镀、电子半导体、冶金等行业）的氟污染评估和排放监控，可以测量电位值、pH值、pX值、ORP值、离子浓度值和温度值。</w:t>
            </w:r>
          </w:p>
          <w:p w14:paraId="7B32CBC5">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3.技术参数</w:t>
            </w:r>
          </w:p>
          <w:p w14:paraId="08ADF5D8">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3.1.采用彩色高清液晶屏幕，显示清晰</w:t>
            </w:r>
          </w:p>
          <w:p w14:paraId="4BCF639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▲3.2.三种分辨率可选：pX支持0.001pX、0.01pX和0.1pX，mV支持0.01mV、0.1 mV和1mV</w:t>
            </w:r>
          </w:p>
          <w:p w14:paraId="59AAD545">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3.3.温度单位可选：℃ 和 °F。</w:t>
            </w:r>
          </w:p>
          <w:p w14:paraId="6B8F23CB">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3.4.支持开机自诊断、自动关机、断电保护和恢复出厂设置等功能</w:t>
            </w:r>
          </w:p>
          <w:p w14:paraId="4CD11081">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3.5.支持固件升级功能，允许功能扩展和个性化要求</w:t>
            </w:r>
          </w:p>
          <w:p w14:paraId="34B290F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3.6.支持IP54防护等级</w:t>
            </w:r>
          </w:p>
          <w:p w14:paraId="0CE2DB76">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3.7.标配搅拌器、氟离子电极、参比电极、温度电极，电极支架、防尘罩。</w:t>
            </w:r>
          </w:p>
          <w:p w14:paraId="7BCF46F2">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3.8.智能判别终点，支持自动读数、定时读数、定时间隔读数、手动读数</w:t>
            </w:r>
          </w:p>
          <w:p w14:paraId="1554E434">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3.9.支持自动/手动温度补偿</w:t>
            </w:r>
          </w:p>
          <w:p w14:paraId="45271B9C">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3.10.支持1-5点pH电极标定</w:t>
            </w:r>
          </w:p>
          <w:p w14:paraId="7971ECFA">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3.11.自动识别GB、DIN、NIST、USA等4组标准缓冲溶液，支持标液组管理，支持自定义pH缓冲溶液和标液组</w:t>
            </w:r>
          </w:p>
          <w:p w14:paraId="41F4ABE1">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3.12.内置Na+、K+、NH</w:t>
            </w:r>
            <w:r>
              <w:rPr>
                <w:rFonts w:hint="eastAsia" w:ascii="宋体" w:hAnsi="宋体" w:eastAsia="宋体" w:cs="宋体"/>
                <w:color w:val="000000" w:themeColor="text1"/>
                <w:kern w:val="0"/>
                <w:sz w:val="22"/>
                <w:szCs w:val="22"/>
                <w:highlight w:val="none"/>
                <w:vertAlign w:val="subscript"/>
                <w:lang w:bidi="ar"/>
                <w14:textFill>
                  <w14:solidFill>
                    <w14:schemeClr w14:val="tx1"/>
                  </w14:solidFill>
                </w14:textFill>
              </w:rPr>
              <w:t>4</w:t>
            </w:r>
            <w:r>
              <w:rPr>
                <w:rFonts w:hint="eastAsia" w:ascii="宋体" w:hAnsi="宋体" w:eastAsia="宋体" w:cs="宋体"/>
                <w:color w:val="000000" w:themeColor="text1"/>
                <w:kern w:val="0"/>
                <w:sz w:val="22"/>
                <w:szCs w:val="22"/>
                <w:highlight w:val="none"/>
                <w:lang w:bidi="ar"/>
                <w14:textFill>
                  <w14:solidFill>
                    <w14:schemeClr w14:val="tx1"/>
                  </w14:solidFill>
                </w14:textFill>
              </w:rPr>
              <w:t>+、Cl-、F-等多种离子模式，允许用户自建</w:t>
            </w:r>
          </w:p>
          <w:p w14:paraId="0CE58CCE">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3.13.μg/L、mg/L、g/L、mol/L、mmol/L、PX多种离子浓度单位快速切换</w:t>
            </w:r>
          </w:p>
          <w:p w14:paraId="19D6123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3.14.测量模式：直读浓度法测量、标准添加法测量、样品添加法测量、GRAN法测量</w:t>
            </w:r>
          </w:p>
          <w:p w14:paraId="05618E85">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3.15.支持数据存储（≥500套）、查阅、删除、传输和打印</w:t>
            </w:r>
          </w:p>
          <w:p w14:paraId="4030743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3.17.直接打印测量结果，打印格式可选</w:t>
            </w:r>
          </w:p>
          <w:p w14:paraId="40F11B0A">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3.18.具有USB等接口，能实现数据传输</w:t>
            </w:r>
          </w:p>
          <w:p w14:paraId="155F56D8">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p>
          <w:p w14:paraId="0ACA4B88">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▲4.分析项目指标</w:t>
            </w:r>
          </w:p>
          <w:p w14:paraId="58D0A993">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4.1.测量参数电位值、pH值、pX值、ORP值、离子浓度值和温度值</w:t>
            </w:r>
          </w:p>
          <w:p w14:paraId="190CF6DA">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4.2.mV：</w:t>
            </w:r>
          </w:p>
          <w:p w14:paraId="2B2EAB50">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范围：(-2000.00～2000.00)mV</w:t>
            </w:r>
          </w:p>
          <w:p w14:paraId="4F99377B">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最小分辨率： 0.01 mV</w:t>
            </w:r>
          </w:p>
          <w:p w14:paraId="7B4054E5">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电子单元示值误差： ±0.03%或±0.1 mV</w:t>
            </w:r>
          </w:p>
          <w:p w14:paraId="288C8751">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4.3.pH：</w:t>
            </w:r>
          </w:p>
          <w:p w14:paraId="02C8A8F4">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范围：(-2.000～20.000)pH</w:t>
            </w:r>
          </w:p>
          <w:p w14:paraId="69D9C986">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最小分辨率： 0.001 pH</w:t>
            </w:r>
          </w:p>
          <w:p w14:paraId="6D72DCF2">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电子单元示值误差： ±0.002pH</w:t>
            </w:r>
          </w:p>
          <w:p w14:paraId="69BE7F14">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4.4.pX：</w:t>
            </w:r>
          </w:p>
          <w:p w14:paraId="57F19425">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范围：(-2.000～20.000)pX</w:t>
            </w:r>
          </w:p>
          <w:p w14:paraId="17343B63">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最小分辨率： 0.001 pX</w:t>
            </w:r>
          </w:p>
          <w:p w14:paraId="397DCD84">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电子单元示值误差： ±0.002 pX</w:t>
            </w:r>
          </w:p>
          <w:p w14:paraId="4C36AC8C">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4.5.离子浓度：</w:t>
            </w:r>
          </w:p>
          <w:p w14:paraId="5F01BF54">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范围： (0～19990)，Unit: mol/L, mmol/L, g/L, mg/L, μg/L</w:t>
            </w:r>
          </w:p>
          <w:p w14:paraId="4225E15E">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精度：±0.002pX</w:t>
            </w:r>
          </w:p>
          <w:p w14:paraId="13483B3A">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最小分辨率： 4位有效数字</w:t>
            </w:r>
          </w:p>
          <w:p w14:paraId="1006064C">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电子单元示值误差： ±0.3%</w:t>
            </w:r>
          </w:p>
          <w:p w14:paraId="0833A796">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4.6.温度：</w:t>
            </w:r>
          </w:p>
          <w:p w14:paraId="444886D3">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范围： (-10.0～135.0)℃/(14-275)℉</w:t>
            </w:r>
          </w:p>
          <w:p w14:paraId="3E431E2C">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最小分辨率： 0.1 ℃/0.1℉</w:t>
            </w:r>
          </w:p>
          <w:p w14:paraId="4EA807B7">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电子单元示值误差： ±0.1 ℃/±0.18℉</w:t>
            </w:r>
          </w:p>
        </w:tc>
      </w:tr>
      <w:tr w14:paraId="2746F9E0">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7298804B">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25</w:t>
            </w:r>
          </w:p>
        </w:tc>
        <w:tc>
          <w:tcPr>
            <w:tcW w:w="3051" w:type="dxa"/>
            <w:tcBorders>
              <w:top w:val="single" w:color="000000" w:sz="8" w:space="0"/>
              <w:left w:val="single" w:color="000000" w:sz="8" w:space="0"/>
              <w:bottom w:val="single" w:color="000000" w:sz="8" w:space="0"/>
              <w:right w:val="single" w:color="000000" w:sz="8" w:space="0"/>
            </w:tcBorders>
            <w:vAlign w:val="center"/>
          </w:tcPr>
          <w:p w14:paraId="45B61339">
            <w:pPr>
              <w:widowControl/>
              <w:snapToGrid w:val="0"/>
              <w:jc w:val="left"/>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电热鼓风干燥箱</w:t>
            </w:r>
          </w:p>
        </w:tc>
        <w:tc>
          <w:tcPr>
            <w:tcW w:w="10247" w:type="dxa"/>
            <w:tcBorders>
              <w:top w:val="single" w:color="000000" w:sz="8" w:space="0"/>
              <w:left w:val="single" w:color="000000" w:sz="8" w:space="0"/>
              <w:bottom w:val="single" w:color="000000" w:sz="8" w:space="0"/>
              <w:right w:val="single" w:color="000000" w:sz="8" w:space="0"/>
            </w:tcBorders>
            <w:noWrap/>
            <w:vAlign w:val="center"/>
          </w:tcPr>
          <w:p w14:paraId="3A46F103">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■1、外壳采用冷轧钢板制造，表面静电喷塑，内胆镜面不锈钢，隔板可以任意调节；</w:t>
            </w:r>
          </w:p>
          <w:p w14:paraId="46016DBF">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2、箱门具备大视角观察玻璃窗，便于用户观察；</w:t>
            </w:r>
          </w:p>
          <w:p w14:paraId="3F0BA28B">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3</w:t>
            </w:r>
            <w:r>
              <w:rPr>
                <w:rFonts w:hint="eastAsia" w:ascii="宋体" w:hAnsi="宋体" w:eastAsia="宋体" w:cs="宋体"/>
                <w:color w:val="000000" w:themeColor="text1"/>
                <w:kern w:val="0"/>
                <w:sz w:val="22"/>
                <w:szCs w:val="22"/>
                <w:highlight w:val="none"/>
                <w:lang w:bidi="ar"/>
                <w14:textFill>
                  <w14:solidFill>
                    <w14:schemeClr w14:val="tx1"/>
                  </w14:solidFill>
                </w14:textFill>
              </w:rPr>
              <w:t>、旋转式两级锁紧结构，保证门与封条贴合度更高，达到良好的密封性；</w:t>
            </w:r>
          </w:p>
          <w:p w14:paraId="0CA48A11">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4</w:t>
            </w:r>
            <w:r>
              <w:rPr>
                <w:rFonts w:hint="eastAsia" w:ascii="宋体" w:hAnsi="宋体" w:eastAsia="宋体" w:cs="宋体"/>
                <w:color w:val="000000" w:themeColor="text1"/>
                <w:kern w:val="0"/>
                <w:sz w:val="22"/>
                <w:szCs w:val="22"/>
                <w:highlight w:val="none"/>
                <w:lang w:bidi="ar"/>
                <w14:textFill>
                  <w14:solidFill>
                    <w14:schemeClr w14:val="tx1"/>
                  </w14:solidFill>
                </w14:textFill>
              </w:rPr>
              <w:t>、彩色液晶显示各项参数指标，具备控温、定时、编程、风速调控、超温报警等功能；</w:t>
            </w:r>
          </w:p>
          <w:p w14:paraId="136AE06B">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5</w:t>
            </w:r>
            <w:r>
              <w:rPr>
                <w:rFonts w:hint="eastAsia" w:ascii="宋体" w:hAnsi="宋体" w:eastAsia="宋体" w:cs="宋体"/>
                <w:color w:val="000000" w:themeColor="text1"/>
                <w:kern w:val="0"/>
                <w:sz w:val="22"/>
                <w:szCs w:val="22"/>
                <w:highlight w:val="none"/>
                <w:lang w:bidi="ar"/>
                <w14:textFill>
                  <w14:solidFill>
                    <w14:schemeClr w14:val="tx1"/>
                  </w14:solidFill>
                </w14:textFill>
              </w:rPr>
              <w:t>、具有倒计时预约功能；</w:t>
            </w:r>
          </w:p>
          <w:p w14:paraId="62ACA17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6</w:t>
            </w:r>
            <w:r>
              <w:rPr>
                <w:rFonts w:hint="eastAsia" w:ascii="宋体" w:hAnsi="宋体" w:eastAsia="宋体" w:cs="宋体"/>
                <w:color w:val="000000" w:themeColor="text1"/>
                <w:kern w:val="0"/>
                <w:sz w:val="22"/>
                <w:szCs w:val="22"/>
                <w:highlight w:val="none"/>
                <w:lang w:bidi="ar"/>
                <w14:textFill>
                  <w14:solidFill>
                    <w14:schemeClr w14:val="tx1"/>
                  </w14:solidFill>
                </w14:textFill>
              </w:rPr>
              <w:t>、预热腔设计，空气加热混合后直接进入工作室，确保快速升温及良好的热分布效果；</w:t>
            </w:r>
          </w:p>
          <w:p w14:paraId="104442B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7</w:t>
            </w:r>
            <w:r>
              <w:rPr>
                <w:rFonts w:hint="eastAsia" w:ascii="宋体" w:hAnsi="宋体" w:eastAsia="宋体" w:cs="宋体"/>
                <w:color w:val="000000" w:themeColor="text1"/>
                <w:kern w:val="0"/>
                <w:sz w:val="22"/>
                <w:szCs w:val="22"/>
                <w:highlight w:val="none"/>
                <w:lang w:bidi="ar"/>
                <w14:textFill>
                  <w14:solidFill>
                    <w14:schemeClr w14:val="tx1"/>
                  </w14:solidFill>
                </w14:textFill>
              </w:rPr>
              <w:t>、采用罩级电机及风叶，具有空气对流微风装置，内腔空气可以更新循环；</w:t>
            </w:r>
          </w:p>
          <w:p w14:paraId="38B8903F">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8</w:t>
            </w:r>
            <w:r>
              <w:rPr>
                <w:rFonts w:hint="eastAsia" w:ascii="宋体" w:hAnsi="宋体" w:eastAsia="宋体" w:cs="宋体"/>
                <w:color w:val="000000" w:themeColor="text1"/>
                <w:kern w:val="0"/>
                <w:sz w:val="22"/>
                <w:szCs w:val="22"/>
                <w:highlight w:val="none"/>
                <w:lang w:bidi="ar"/>
                <w14:textFill>
                  <w14:solidFill>
                    <w14:schemeClr w14:val="tx1"/>
                  </w14:solidFill>
                </w14:textFill>
              </w:rPr>
              <w:t>、风机</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不少于</w:t>
            </w:r>
            <w:r>
              <w:rPr>
                <w:rFonts w:hint="eastAsia" w:ascii="宋体" w:hAnsi="宋体" w:eastAsia="宋体" w:cs="宋体"/>
                <w:color w:val="000000" w:themeColor="text1"/>
                <w:kern w:val="0"/>
                <w:sz w:val="22"/>
                <w:szCs w:val="22"/>
                <w:highlight w:val="none"/>
                <w:lang w:bidi="ar"/>
                <w14:textFill>
                  <w14:solidFill>
                    <w14:schemeClr w14:val="tx1"/>
                  </w14:solidFill>
                </w14:textFill>
              </w:rPr>
              <w:t>6段调速，可保证不同风速的要求，避免粉尘样品扬尘造成样品损耗；</w:t>
            </w:r>
          </w:p>
          <w:p w14:paraId="40FF2727">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9、</w:t>
            </w:r>
            <w:r>
              <w:rPr>
                <w:rFonts w:hint="eastAsia" w:ascii="宋体" w:hAnsi="宋体" w:eastAsia="宋体" w:cs="宋体"/>
                <w:color w:val="000000" w:themeColor="text1"/>
                <w:kern w:val="0"/>
                <w:sz w:val="22"/>
                <w:szCs w:val="22"/>
                <w:highlight w:val="none"/>
                <w:lang w:bidi="ar"/>
                <w14:textFill>
                  <w14:solidFill>
                    <w14:schemeClr w14:val="tx1"/>
                  </w14:solidFill>
                </w14:textFill>
              </w:rPr>
              <w:t>控温范围：室温+5～250℃</w:t>
            </w:r>
          </w:p>
          <w:p w14:paraId="321547F3">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10、</w:t>
            </w:r>
            <w:r>
              <w:rPr>
                <w:rFonts w:hint="eastAsia" w:ascii="宋体" w:hAnsi="宋体" w:eastAsia="宋体" w:cs="宋体"/>
                <w:color w:val="000000" w:themeColor="text1"/>
                <w:kern w:val="0"/>
                <w:sz w:val="22"/>
                <w:szCs w:val="22"/>
                <w:highlight w:val="none"/>
                <w:lang w:bidi="ar"/>
                <w14:textFill>
                  <w14:solidFill>
                    <w14:schemeClr w14:val="tx1"/>
                  </w14:solidFill>
                </w14:textFill>
              </w:rPr>
              <w:t>分辨率：0.1℃</w:t>
            </w:r>
          </w:p>
          <w:p w14:paraId="51959262">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▲波动度：±1℃(105℃)</w:t>
            </w:r>
          </w:p>
          <w:p w14:paraId="3365FE0E">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▲均匀度：±2%</w:t>
            </w:r>
          </w:p>
          <w:p w14:paraId="3F1F9AB6">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升温速率：室温升至 200℃约 30～45min</w:t>
            </w:r>
          </w:p>
          <w:p w14:paraId="7045FDD0">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定时范围：0～9999min/h；预约范围：0～9999min</w:t>
            </w:r>
          </w:p>
          <w:p w14:paraId="033EEAAA">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编程控制：10段100周期</w:t>
            </w:r>
          </w:p>
          <w:p w14:paraId="4A1D39CE">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▲容积：≥140L</w:t>
            </w:r>
          </w:p>
          <w:p w14:paraId="2C589A56">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载物搁架：</w:t>
            </w:r>
            <w:r>
              <w:rPr>
                <w:rFonts w:hint="eastAsia" w:ascii="宋体" w:hAnsi="宋体" w:eastAsia="宋体" w:cs="宋体"/>
                <w:color w:val="000000" w:themeColor="text1"/>
                <w:kern w:val="0"/>
                <w:sz w:val="22"/>
                <w:szCs w:val="22"/>
                <w:highlight w:val="none"/>
                <w:lang w:val="en-US" w:eastAsia="zh-CN" w:bidi="ar"/>
                <w14:textFill>
                  <w14:solidFill>
                    <w14:schemeClr w14:val="tx1"/>
                  </w14:solidFill>
                </w14:textFill>
              </w:rPr>
              <w:t>不少于</w:t>
            </w:r>
            <w:r>
              <w:rPr>
                <w:rFonts w:hint="eastAsia" w:ascii="宋体" w:hAnsi="宋体" w:eastAsia="宋体" w:cs="宋体"/>
                <w:color w:val="000000" w:themeColor="text1"/>
                <w:kern w:val="0"/>
                <w:sz w:val="22"/>
                <w:szCs w:val="22"/>
                <w:highlight w:val="none"/>
                <w:lang w:bidi="ar"/>
                <w14:textFill>
                  <w14:solidFill>
                    <w14:schemeClr w14:val="tx1"/>
                  </w14:solidFill>
                </w14:textFill>
              </w:rPr>
              <w:t>3块</w:t>
            </w:r>
          </w:p>
        </w:tc>
      </w:tr>
      <w:tr w14:paraId="6A4F9297">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0B61086A">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26</w:t>
            </w:r>
          </w:p>
        </w:tc>
        <w:tc>
          <w:tcPr>
            <w:tcW w:w="3051" w:type="dxa"/>
            <w:tcBorders>
              <w:top w:val="single" w:color="000000" w:sz="8" w:space="0"/>
              <w:left w:val="single" w:color="000000" w:sz="8" w:space="0"/>
              <w:bottom w:val="single" w:color="000000" w:sz="8" w:space="0"/>
              <w:right w:val="single" w:color="000000" w:sz="8" w:space="0"/>
            </w:tcBorders>
            <w:vAlign w:val="center"/>
          </w:tcPr>
          <w:p w14:paraId="0D6FF0C1">
            <w:pPr>
              <w:widowControl/>
              <w:snapToGrid w:val="0"/>
              <w:jc w:val="left"/>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实验室台式离心机</w:t>
            </w:r>
          </w:p>
        </w:tc>
        <w:tc>
          <w:tcPr>
            <w:tcW w:w="10247" w:type="dxa"/>
            <w:tcBorders>
              <w:top w:val="single" w:color="000000" w:sz="8" w:space="0"/>
              <w:left w:val="single" w:color="000000" w:sz="8" w:space="0"/>
              <w:bottom w:val="single" w:color="000000" w:sz="8" w:space="0"/>
              <w:right w:val="single" w:color="000000" w:sz="8" w:space="0"/>
            </w:tcBorders>
            <w:noWrap/>
            <w:vAlign w:val="center"/>
          </w:tcPr>
          <w:p w14:paraId="3C435372">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1、高清液晶触控屏或数码显示屏。</w:t>
            </w:r>
          </w:p>
          <w:p w14:paraId="5DA0FD38">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■2、采用三轴陀螺仪或高敏加速度或高精度振动传感器检测,不平衡时会报警停机。</w:t>
            </w:r>
          </w:p>
          <w:p w14:paraId="5DA47604">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3、具有门盖，超速，超温，过流，过压等多重保护功能。</w:t>
            </w:r>
          </w:p>
          <w:p w14:paraId="776F1C73">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4、所有转子、转子盖均可高温高压灭菌。</w:t>
            </w:r>
          </w:p>
          <w:p w14:paraId="3CB08E33">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▲5、最高转速;≥5000 r/min</w:t>
            </w:r>
          </w:p>
          <w:p w14:paraId="1F6EFF9D">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6、最大离心力:≥4390×g</w:t>
            </w:r>
          </w:p>
          <w:p w14:paraId="0E44979B">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7、最大容量：≥800ml</w:t>
            </w:r>
          </w:p>
          <w:p w14:paraId="4DF6DAE0">
            <w:pPr>
              <w:widowControl/>
              <w:snapToGrid w:val="0"/>
              <w:jc w:val="left"/>
              <w:textAlignment w:val="center"/>
              <w:rPr>
                <w:rFonts w:hint="eastAsia" w:ascii="宋体" w:hAnsi="宋体" w:eastAsia="宋体" w:cs="宋体"/>
                <w:color w:val="000000" w:themeColor="text1"/>
                <w:kern w:val="0"/>
                <w:sz w:val="22"/>
                <w:szCs w:val="22"/>
                <w:highlight w:val="none"/>
                <w:lang w:bidi="ar"/>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8、转速精度：±10r/min</w:t>
            </w:r>
          </w:p>
          <w:p w14:paraId="553D20EB">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9、配置 ：标准配置所需要的水平转子等、玻璃管或者塑料管适配器等，离心管≥50支。</w:t>
            </w:r>
          </w:p>
        </w:tc>
      </w:tr>
      <w:tr w14:paraId="628BF198">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4604C3FA">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27</w:t>
            </w:r>
          </w:p>
        </w:tc>
        <w:tc>
          <w:tcPr>
            <w:tcW w:w="3051" w:type="dxa"/>
            <w:tcBorders>
              <w:top w:val="single" w:color="000000" w:sz="8" w:space="0"/>
              <w:left w:val="single" w:color="000000" w:sz="8" w:space="0"/>
              <w:bottom w:val="single" w:color="000000" w:sz="8" w:space="0"/>
              <w:right w:val="single" w:color="000000" w:sz="8" w:space="0"/>
            </w:tcBorders>
            <w:vAlign w:val="center"/>
          </w:tcPr>
          <w:p w14:paraId="3B9860C7">
            <w:pPr>
              <w:widowControl/>
              <w:snapToGrid w:val="0"/>
              <w:jc w:val="left"/>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环境空气综合采样器</w:t>
            </w:r>
          </w:p>
        </w:tc>
        <w:tc>
          <w:tcPr>
            <w:tcW w:w="10247" w:type="dxa"/>
            <w:tcBorders>
              <w:top w:val="single" w:color="000000" w:sz="8" w:space="0"/>
              <w:left w:val="single" w:color="000000" w:sz="8" w:space="0"/>
              <w:bottom w:val="single" w:color="000000" w:sz="8" w:space="0"/>
              <w:right w:val="single" w:color="000000" w:sz="8" w:space="0"/>
            </w:tcBorders>
            <w:vAlign w:val="center"/>
          </w:tcPr>
          <w:p w14:paraId="103B4CD3">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主要功能：</w:t>
            </w:r>
          </w:p>
          <w:p w14:paraId="469FCBA3">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1.可同时采集环境空气中SO</w:t>
            </w:r>
            <w:r>
              <w:rPr>
                <w:rFonts w:hint="eastAsia" w:ascii="宋体" w:hAnsi="宋体" w:eastAsia="宋体" w:cs="宋体"/>
                <w:color w:val="000000" w:themeColor="text1"/>
                <w:sz w:val="22"/>
                <w:szCs w:val="22"/>
                <w:highlight w:val="none"/>
                <w:vertAlign w:val="subscript"/>
                <w14:textFill>
                  <w14:solidFill>
                    <w14:schemeClr w14:val="tx1"/>
                  </w14:solidFill>
                </w14:textFill>
              </w:rPr>
              <w:t>2</w:t>
            </w:r>
            <w:r>
              <w:rPr>
                <w:rFonts w:hint="eastAsia" w:ascii="宋体" w:hAnsi="宋体" w:eastAsia="宋体" w:cs="宋体"/>
                <w:color w:val="000000" w:themeColor="text1"/>
                <w:sz w:val="22"/>
                <w:szCs w:val="22"/>
                <w:highlight w:val="none"/>
                <w14:textFill>
                  <w14:solidFill>
                    <w14:schemeClr w14:val="tx1"/>
                  </w14:solidFill>
                </w14:textFill>
              </w:rPr>
              <w:t>、NO</w:t>
            </w:r>
            <w:r>
              <w:rPr>
                <w:rFonts w:hint="eastAsia" w:ascii="宋体" w:hAnsi="宋体" w:eastAsia="宋体" w:cs="宋体"/>
                <w:color w:val="000000" w:themeColor="text1"/>
                <w:sz w:val="22"/>
                <w:szCs w:val="22"/>
                <w:highlight w:val="none"/>
                <w:vertAlign w:val="subscript"/>
                <w14:textFill>
                  <w14:solidFill>
                    <w14:schemeClr w14:val="tx1"/>
                  </w14:solidFill>
                </w14:textFill>
              </w:rPr>
              <w:t>X</w:t>
            </w:r>
            <w:r>
              <w:rPr>
                <w:rFonts w:hint="eastAsia" w:ascii="宋体" w:hAnsi="宋体" w:eastAsia="宋体" w:cs="宋体"/>
                <w:color w:val="000000" w:themeColor="text1"/>
                <w:sz w:val="22"/>
                <w:szCs w:val="22"/>
                <w:highlight w:val="none"/>
                <w14:textFill>
                  <w14:solidFill>
                    <w14:schemeClr w14:val="tx1"/>
                  </w14:solidFill>
                </w14:textFill>
              </w:rPr>
              <w:t>等气态污染物和TSP、PM</w:t>
            </w:r>
            <w:r>
              <w:rPr>
                <w:rFonts w:hint="eastAsia" w:ascii="宋体" w:hAnsi="宋体" w:eastAsia="宋体" w:cs="宋体"/>
                <w:color w:val="000000" w:themeColor="text1"/>
                <w:sz w:val="22"/>
                <w:szCs w:val="22"/>
                <w:highlight w:val="none"/>
                <w:vertAlign w:val="subscript"/>
                <w14:textFill>
                  <w14:solidFill>
                    <w14:schemeClr w14:val="tx1"/>
                  </w14:solidFill>
                </w14:textFill>
              </w:rPr>
              <w:t>10</w:t>
            </w:r>
            <w:r>
              <w:rPr>
                <w:rFonts w:hint="eastAsia" w:ascii="宋体" w:hAnsi="宋体" w:eastAsia="宋体" w:cs="宋体"/>
                <w:color w:val="000000" w:themeColor="text1"/>
                <w:sz w:val="22"/>
                <w:szCs w:val="22"/>
                <w:highlight w:val="none"/>
                <w14:textFill>
                  <w14:solidFill>
                    <w14:schemeClr w14:val="tx1"/>
                  </w14:solidFill>
                </w14:textFill>
              </w:rPr>
              <w:t>和PM</w:t>
            </w:r>
            <w:r>
              <w:rPr>
                <w:rFonts w:hint="eastAsia" w:ascii="宋体" w:hAnsi="宋体" w:eastAsia="宋体" w:cs="宋体"/>
                <w:color w:val="000000" w:themeColor="text1"/>
                <w:sz w:val="22"/>
                <w:szCs w:val="22"/>
                <w:highlight w:val="none"/>
                <w:vertAlign w:val="subscript"/>
                <w14:textFill>
                  <w14:solidFill>
                    <w14:schemeClr w14:val="tx1"/>
                  </w14:solidFill>
                </w14:textFill>
              </w:rPr>
              <w:t>2.5</w:t>
            </w:r>
            <w:r>
              <w:rPr>
                <w:rFonts w:hint="eastAsia" w:ascii="宋体" w:hAnsi="宋体" w:eastAsia="宋体" w:cs="宋体"/>
                <w:color w:val="000000" w:themeColor="text1"/>
                <w:sz w:val="22"/>
                <w:szCs w:val="22"/>
                <w:highlight w:val="none"/>
                <w14:textFill>
                  <w14:solidFill>
                    <w14:schemeClr w14:val="tx1"/>
                  </w14:solidFill>
                </w14:textFill>
              </w:rPr>
              <w:t>等粉尘污染物，采样流量自动控制：采用高精度、耐腐蚀电子流量计，微电脑系统检测采样流量，自动补偿因为电压波动和阻力、温度变化引起的流量变化；</w:t>
            </w:r>
          </w:p>
          <w:p w14:paraId="63D56719">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2.采用引风式环境温度检测模块；</w:t>
            </w:r>
          </w:p>
          <w:p w14:paraId="3FA20B30">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3.自动计算累计采样体积，并同时根据气压、温度换算参比采样体积或标况采样体积；</w:t>
            </w:r>
          </w:p>
          <w:p w14:paraId="43F8C58F">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4.采样泵耐腐蚀，连续运转免维护，适应各种工况，具有过载保护功能；</w:t>
            </w:r>
          </w:p>
          <w:p w14:paraId="05E66DBC">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5.高效防倒吸干燥器设计，有效防止误操作导致的吸收液倒吸；</w:t>
            </w:r>
          </w:p>
          <w:p w14:paraId="7EFEC7E4">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6.优质滤尘滤网，具有过载、低流量自保护程序，可有效保护气路及采样泵</w:t>
            </w:r>
          </w:p>
          <w:p w14:paraId="0DB74E08">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7.宽温高亮显示屏，适用于高寒地区，通俗软件显示界面，实现良好人机交互</w:t>
            </w:r>
          </w:p>
          <w:p w14:paraId="662702E9">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8.大气采样A/B两路设计，采样方式灵活，可分别单独控制，可以实现即时采样、定时采样、间隔采样等多种采样模式</w:t>
            </w:r>
          </w:p>
          <w:p w14:paraId="7ED14571">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9.大气压可输入和测量，适于低压环境使用，保温箱排水流道设计，可快速排出箱内液体，茶色保温箱盖设计，对采样进行</w:t>
            </w:r>
          </w:p>
          <w:p w14:paraId="477941D8">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二级避光</w:t>
            </w:r>
          </w:p>
          <w:p w14:paraId="210FE95A">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10.内置蓝牙模块，可连接便携式蓝牙打印机轻松掌握实时数据</w:t>
            </w:r>
          </w:p>
          <w:p w14:paraId="0A54EFCD">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11.提供USB接口，可将采样数据文件导出，同时支持升级仪器主板程序</w:t>
            </w:r>
          </w:p>
          <w:p w14:paraId="782F357C">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r>
              <w:rPr>
                <w:rFonts w:hint="eastAsia" w:ascii="宋体" w:hAnsi="宋体" w:eastAsia="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14:textFill>
                  <w14:solidFill>
                    <w14:schemeClr w14:val="tx1"/>
                  </w14:solidFill>
                </w14:textFill>
              </w:rPr>
              <w:t>2.内置自动定位、授时功能、防篡改功能；</w:t>
            </w:r>
          </w:p>
          <w:p w14:paraId="06714344">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二、主要技术指标</w:t>
            </w:r>
          </w:p>
          <w:p w14:paraId="35FF8E52">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w:t>
            </w:r>
            <w:r>
              <w:rPr>
                <w:rFonts w:hint="eastAsia" w:ascii="宋体" w:hAnsi="宋体" w:eastAsia="宋体" w:cs="宋体"/>
                <w:color w:val="000000" w:themeColor="text1"/>
                <w:sz w:val="22"/>
                <w:szCs w:val="22"/>
                <w:highlight w:val="none"/>
                <w:lang w:eastAsia="zh-CN"/>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颗粒物采样流量 参数范围</w:t>
            </w:r>
            <w:r>
              <w:rPr>
                <w:rFonts w:hint="eastAsia" w:ascii="宋体" w:hAnsi="宋体" w:eastAsia="宋体" w:cs="宋体"/>
                <w:color w:val="000000" w:themeColor="text1"/>
                <w:sz w:val="22"/>
                <w:szCs w:val="22"/>
                <w:highlight w:val="none"/>
                <w:lang w:eastAsia="zh-CN"/>
                <w14:textFill>
                  <w14:solidFill>
                    <w14:schemeClr w14:val="tx1"/>
                  </w14:solidFill>
                </w14:textFill>
              </w:rPr>
              <w:t>包含</w:t>
            </w:r>
            <w:r>
              <w:rPr>
                <w:rFonts w:hint="eastAsia" w:ascii="宋体" w:hAnsi="宋体" w:eastAsia="宋体" w:cs="宋体"/>
                <w:color w:val="000000" w:themeColor="text1"/>
                <w:sz w:val="22"/>
                <w:szCs w:val="22"/>
                <w:highlight w:val="none"/>
                <w14:textFill>
                  <w14:solidFill>
                    <w14:schemeClr w14:val="tx1"/>
                  </w14:solidFill>
                </w14:textFill>
              </w:rPr>
              <w:t>(10～1</w:t>
            </w:r>
            <w:r>
              <w:rPr>
                <w:rFonts w:hint="eastAsia" w:ascii="宋体" w:hAnsi="宋体" w:eastAsia="宋体" w:cs="宋体"/>
                <w:color w:val="000000" w:themeColor="text1"/>
                <w:sz w:val="22"/>
                <w:szCs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14:textFill>
                  <w14:solidFill>
                    <w14:schemeClr w14:val="tx1"/>
                  </w14:solidFill>
                </w14:textFill>
              </w:rPr>
              <w:t>0)L/min  分辨率0.1L/min  最大容许误差≤±2.0%</w:t>
            </w:r>
          </w:p>
          <w:p w14:paraId="025B1C03">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w:t>
            </w:r>
            <w:r>
              <w:rPr>
                <w:rFonts w:hint="eastAsia" w:ascii="宋体" w:hAnsi="宋体" w:eastAsia="宋体" w:cs="宋体"/>
                <w:color w:val="000000" w:themeColor="text1"/>
                <w:sz w:val="22"/>
                <w:szCs w:val="22"/>
                <w:highlight w:val="none"/>
                <w:lang w:eastAsia="zh-CN"/>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颗粒物采样时间 参数范围1min～99h59min  分辨率1s      最大容许误差±0.1%</w:t>
            </w:r>
          </w:p>
          <w:p w14:paraId="0E37E6D8">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w:t>
            </w:r>
            <w:r>
              <w:rPr>
                <w:rFonts w:hint="eastAsia" w:ascii="宋体" w:hAnsi="宋体" w:eastAsia="宋体" w:cs="宋体"/>
                <w:color w:val="000000" w:themeColor="text1"/>
                <w:sz w:val="22"/>
                <w:szCs w:val="22"/>
                <w:highlight w:val="none"/>
                <w:lang w:eastAsia="zh-CN"/>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带载能力，参数范围100L/min流量时，负载能力＞9kPa</w:t>
            </w:r>
          </w:p>
          <w:p w14:paraId="659FA350">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4</w:t>
            </w:r>
            <w:r>
              <w:rPr>
                <w:rFonts w:hint="eastAsia" w:ascii="宋体" w:hAnsi="宋体" w:eastAsia="宋体" w:cs="宋体"/>
                <w:color w:val="000000" w:themeColor="text1"/>
                <w:sz w:val="22"/>
                <w:szCs w:val="22"/>
                <w:highlight w:val="none"/>
                <w:lang w:eastAsia="zh-CN"/>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大气采样流量，四路恒温参数范围(0.1～1.0)L/min  分辨率0.01L/min最大容许误差±2.0%</w:t>
            </w:r>
          </w:p>
          <w:p w14:paraId="78FDE8BD">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5</w:t>
            </w:r>
            <w:r>
              <w:rPr>
                <w:rFonts w:hint="eastAsia" w:ascii="宋体" w:hAnsi="宋体" w:eastAsia="宋体" w:cs="宋体"/>
                <w:color w:val="000000" w:themeColor="text1"/>
                <w:sz w:val="22"/>
                <w:szCs w:val="22"/>
                <w:highlight w:val="none"/>
                <w:lang w:eastAsia="zh-CN"/>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大气采样时间，参数范围1min～99h59min，分辨率1s ，最大容许误差±0.1%</w:t>
            </w:r>
          </w:p>
          <w:p w14:paraId="5073A2B6">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6</w:t>
            </w:r>
            <w:r>
              <w:rPr>
                <w:rFonts w:hint="eastAsia" w:ascii="宋体" w:hAnsi="宋体" w:eastAsia="宋体" w:cs="宋体"/>
                <w:color w:val="000000" w:themeColor="text1"/>
                <w:sz w:val="22"/>
                <w:szCs w:val="22"/>
                <w:highlight w:val="none"/>
                <w:lang w:eastAsia="zh-CN"/>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环境大气压，参数范围(60～130)kPa，分辨率0.01kPa，最大容许误差±0.5kPa</w:t>
            </w:r>
          </w:p>
          <w:p w14:paraId="51372A91">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7</w:t>
            </w:r>
            <w:r>
              <w:rPr>
                <w:rFonts w:hint="eastAsia" w:ascii="宋体" w:hAnsi="宋体" w:eastAsia="宋体" w:cs="宋体"/>
                <w:color w:val="000000" w:themeColor="text1"/>
                <w:sz w:val="22"/>
                <w:szCs w:val="22"/>
                <w:highlight w:val="none"/>
                <w:lang w:eastAsia="zh-CN"/>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主机功耗 ≤120W；</w:t>
            </w:r>
          </w:p>
          <w:p w14:paraId="0B4AA6F6">
            <w:pPr>
              <w:widowControl/>
              <w:snapToGrid w:val="0"/>
              <w:jc w:val="left"/>
              <w:textAlignment w:val="center"/>
              <w:rPr>
                <w:rFonts w:hint="default"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r>
              <w:rPr>
                <w:rFonts w:hint="eastAsia" w:ascii="宋体" w:hAnsi="宋体" w:eastAsia="宋体" w:cs="宋体"/>
                <w:color w:val="000000" w:themeColor="text1"/>
                <w:sz w:val="22"/>
                <w:szCs w:val="22"/>
                <w:highlight w:val="none"/>
                <w:lang w:val="en-US" w:eastAsia="zh-CN"/>
                <w14:textFill>
                  <w14:solidFill>
                    <w14:schemeClr w14:val="tx1"/>
                  </w14:solidFill>
                </w14:textFill>
              </w:rPr>
              <w:t>8.内置锂电池供电，满负载运行不少于5小时。</w:t>
            </w:r>
          </w:p>
          <w:p w14:paraId="1B2ADC3F">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三、配置清单：</w:t>
            </w:r>
          </w:p>
          <w:p w14:paraId="4987DFAD">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环境空气综合采样器主机一台，TSP/PM10/PM2.5采样头一套，氟化物采样头一套，干燥筒，三角支架一个。10ml多孔玻板U形瓶10个，50ml直冲式多孔玻板瓶2个，配套滤膜2盒（100张/盒）</w:t>
            </w:r>
          </w:p>
        </w:tc>
      </w:tr>
      <w:tr w14:paraId="67C363EE">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700B843A">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28</w:t>
            </w:r>
          </w:p>
        </w:tc>
        <w:tc>
          <w:tcPr>
            <w:tcW w:w="3051" w:type="dxa"/>
            <w:tcBorders>
              <w:top w:val="single" w:color="000000" w:sz="8" w:space="0"/>
              <w:left w:val="single" w:color="000000" w:sz="8" w:space="0"/>
              <w:bottom w:val="single" w:color="000000" w:sz="8" w:space="0"/>
              <w:right w:val="single" w:color="000000" w:sz="8" w:space="0"/>
            </w:tcBorders>
            <w:vAlign w:val="center"/>
          </w:tcPr>
          <w:p w14:paraId="2EBEB75E">
            <w:pPr>
              <w:widowControl/>
              <w:snapToGrid w:val="0"/>
              <w:jc w:val="left"/>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ascii="宋体" w:hAnsi="宋体" w:eastAsia="宋体" w:cs="宋体"/>
                <w:color w:val="000000" w:themeColor="text1"/>
                <w:sz w:val="22"/>
                <w:szCs w:val="24"/>
                <w:highlight w:val="none"/>
                <w:lang w:bidi="ar"/>
                <w14:textFill>
                  <w14:solidFill>
                    <w14:schemeClr w14:val="tx1"/>
                  </w14:solidFill>
                </w14:textFill>
              </w:rPr>
              <w:t>便携式多参数水质分析仪（水温、ph、电导率、溶解氧、浊度）</w:t>
            </w:r>
          </w:p>
        </w:tc>
        <w:tc>
          <w:tcPr>
            <w:tcW w:w="10247" w:type="dxa"/>
            <w:tcBorders>
              <w:top w:val="single" w:color="000000" w:sz="8" w:space="0"/>
              <w:left w:val="single" w:color="000000" w:sz="8" w:space="0"/>
              <w:bottom w:val="single" w:color="000000" w:sz="8" w:space="0"/>
              <w:right w:val="single" w:color="000000" w:sz="8" w:space="0"/>
            </w:tcBorders>
            <w:vAlign w:val="center"/>
          </w:tcPr>
          <w:p w14:paraId="659CF6DF">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r>
              <w:rPr>
                <w:rFonts w:hint="eastAsia" w:ascii="宋体" w:hAnsi="宋体" w:eastAsia="宋体" w:cs="微软雅黑"/>
                <w:color w:val="000000" w:themeColor="text1"/>
                <w:szCs w:val="24"/>
                <w:highlight w:val="none"/>
                <w:lang w:val="en-US" w:eastAsia="zh-CN"/>
                <w14:textFill>
                  <w14:solidFill>
                    <w14:schemeClr w14:val="tx1"/>
                  </w14:solidFill>
                </w14:textFill>
              </w:rPr>
              <w:t>1.</w:t>
            </w:r>
            <w:r>
              <w:rPr>
                <w:rFonts w:hint="eastAsia" w:ascii="宋体" w:hAnsi="宋体" w:eastAsia="宋体" w:cs="微软雅黑"/>
                <w:color w:val="000000" w:themeColor="text1"/>
                <w:szCs w:val="24"/>
                <w:highlight w:val="none"/>
                <w14:textFill>
                  <w14:solidFill>
                    <w14:schemeClr w14:val="tx1"/>
                  </w14:solidFill>
                </w14:textFill>
              </w:rPr>
              <w:t>设备包含水质多参数测量模块和浊度测量模块（每个模块内置自动定位、授时功能、防篡改功能）</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4CF85BC6">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2.</w:t>
            </w:r>
            <w:r>
              <w:rPr>
                <w:rFonts w:hint="eastAsia" w:ascii="宋体" w:hAnsi="宋体" w:eastAsia="宋体" w:cs="微软雅黑"/>
                <w:color w:val="000000" w:themeColor="text1"/>
                <w:szCs w:val="24"/>
                <w:highlight w:val="none"/>
                <w14:textFill>
                  <w14:solidFill>
                    <w14:schemeClr w14:val="tx1"/>
                  </w14:solidFill>
                </w14:textFill>
              </w:rPr>
              <w:t>多参数模块</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1A9EEDC4">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2.1</w:t>
            </w:r>
            <w:r>
              <w:rPr>
                <w:rFonts w:hint="eastAsia" w:ascii="宋体" w:hAnsi="宋体" w:eastAsia="宋体" w:cs="微软雅黑"/>
                <w:color w:val="000000" w:themeColor="text1"/>
                <w:szCs w:val="24"/>
                <w:highlight w:val="none"/>
                <w14:textFill>
                  <w14:solidFill>
                    <w14:schemeClr w14:val="tx1"/>
                  </w14:solidFill>
                </w14:textFill>
              </w:rPr>
              <w:t>温度单位可选：℃ 和 °F</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00264928">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2.2</w:t>
            </w:r>
            <w:r>
              <w:rPr>
                <w:rFonts w:hint="eastAsia" w:ascii="宋体" w:hAnsi="宋体" w:eastAsia="宋体" w:cs="微软雅黑"/>
                <w:color w:val="000000" w:themeColor="text1"/>
                <w:szCs w:val="24"/>
                <w:highlight w:val="none"/>
                <w14:textFill>
                  <w14:solidFill>
                    <w14:schemeClr w14:val="tx1"/>
                  </w14:solidFill>
                </w14:textFill>
              </w:rPr>
              <w:t>支持IP65防护等级</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609C2BD9">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2.3</w:t>
            </w:r>
            <w:r>
              <w:rPr>
                <w:rFonts w:hint="eastAsia" w:ascii="宋体" w:hAnsi="宋体" w:eastAsia="宋体" w:cs="微软雅黑"/>
                <w:color w:val="000000" w:themeColor="text1"/>
                <w:szCs w:val="24"/>
                <w:highlight w:val="none"/>
                <w14:textFill>
                  <w14:solidFill>
                    <w14:schemeClr w14:val="tx1"/>
                  </w14:solidFill>
                </w14:textFill>
              </w:rPr>
              <w:t>标配三复合pH电极、复合电导电极、极谱法溶解氧电极、电极挂架、硅胶保护套、腕带、便携式手提箱和校准溶液</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79C727B8">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2.4</w:t>
            </w:r>
            <w:r>
              <w:rPr>
                <w:rFonts w:hint="eastAsia" w:ascii="宋体" w:hAnsi="宋体" w:eastAsia="宋体" w:cs="微软雅黑"/>
                <w:color w:val="000000" w:themeColor="text1"/>
                <w:szCs w:val="24"/>
                <w:highlight w:val="none"/>
                <w14:textFill>
                  <w14:solidFill>
                    <w14:schemeClr w14:val="tx1"/>
                  </w14:solidFill>
                </w14:textFill>
              </w:rPr>
              <w:t>内置pH/pX、电导、溶解氧3个测量单元</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4732B0BE">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2.5</w:t>
            </w:r>
            <w:r>
              <w:rPr>
                <w:rFonts w:hint="eastAsia" w:ascii="宋体" w:hAnsi="宋体" w:eastAsia="宋体" w:cs="微软雅黑"/>
                <w:color w:val="000000" w:themeColor="text1"/>
                <w:szCs w:val="24"/>
                <w:highlight w:val="none"/>
                <w14:textFill>
                  <w14:solidFill>
                    <w14:schemeClr w14:val="tx1"/>
                  </w14:solidFill>
                </w14:textFill>
              </w:rPr>
              <w:t>检测项目：pH/ pX值、离子浓度、mV值、电导率、电阻率、TDS、盐度、灰分、溶解氧、溶解氧饱和度、温度</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480CFA0E">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2.6</w:t>
            </w:r>
            <w:r>
              <w:rPr>
                <w:rFonts w:hint="eastAsia" w:ascii="宋体" w:hAnsi="宋体" w:eastAsia="宋体" w:cs="微软雅黑"/>
                <w:color w:val="000000" w:themeColor="text1"/>
                <w:szCs w:val="24"/>
                <w:highlight w:val="none"/>
                <w14:textFill>
                  <w14:solidFill>
                    <w14:schemeClr w14:val="tx1"/>
                  </w14:solidFill>
                </w14:textFill>
              </w:rPr>
              <w:t>支持数据存储(各1000套)、查阅、删除、统计、分析、传输</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380A17D6">
            <w:pPr>
              <w:adjustRightInd w:val="0"/>
              <w:snapToGrid w:val="0"/>
              <w:rPr>
                <w:rFonts w:hint="eastAsia" w:ascii="宋体" w:hAnsi="宋体" w:eastAsia="宋体" w:cs="微软雅黑"/>
                <w:color w:val="000000" w:themeColor="text1"/>
                <w:szCs w:val="24"/>
                <w:highlight w:val="none"/>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2.7</w:t>
            </w:r>
            <w:r>
              <w:rPr>
                <w:rFonts w:hint="eastAsia" w:ascii="宋体" w:hAnsi="宋体" w:eastAsia="宋体" w:cs="微软雅黑"/>
                <w:color w:val="000000" w:themeColor="text1"/>
                <w:szCs w:val="24"/>
                <w:highlight w:val="none"/>
                <w14:textFill>
                  <w14:solidFill>
                    <w14:schemeClr w14:val="tx1"/>
                  </w14:solidFill>
                </w14:textFill>
              </w:rPr>
              <w:t>具有 USB 接口，通过专用通信软件与PC连接，实现数据传输；支持连接LIMS系统</w:t>
            </w:r>
            <w:r>
              <w:rPr>
                <w:rFonts w:hint="eastAsia" w:ascii="宋体" w:hAnsi="宋体" w:eastAsia="宋体" w:cs="微软雅黑"/>
                <w:color w:val="000000" w:themeColor="text1"/>
                <w:szCs w:val="24"/>
                <w:highlight w:val="none"/>
                <w:lang w:eastAsia="zh-CN"/>
                <w14:textFill>
                  <w14:solidFill>
                    <w14:schemeClr w14:val="tx1"/>
                  </w14:solidFill>
                </w14:textFill>
              </w:rPr>
              <w:t>。</w:t>
            </w:r>
            <w:r>
              <w:rPr>
                <w:rFonts w:hint="eastAsia" w:ascii="宋体" w:hAnsi="宋体" w:eastAsia="宋体" w:cs="微软雅黑"/>
                <w:color w:val="000000" w:themeColor="text1"/>
                <w:szCs w:val="24"/>
                <w:highlight w:val="none"/>
                <w14:textFill>
                  <w14:solidFill>
                    <w14:schemeClr w14:val="tx1"/>
                  </w14:solidFill>
                </w14:textFill>
              </w:rPr>
              <w:t xml:space="preserve"> </w:t>
            </w:r>
          </w:p>
          <w:p w14:paraId="39A7CFC0">
            <w:pPr>
              <w:adjustRightInd w:val="0"/>
              <w:snapToGrid w:val="0"/>
              <w:rPr>
                <w:rFonts w:hint="eastAsia" w:ascii="宋体" w:hAnsi="宋体" w:eastAsia="宋体" w:cs="微软雅黑"/>
                <w:color w:val="000000" w:themeColor="text1"/>
                <w:szCs w:val="24"/>
                <w:highlight w:val="none"/>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3.</w:t>
            </w:r>
            <w:r>
              <w:rPr>
                <w:rFonts w:hint="eastAsia" w:ascii="宋体" w:hAnsi="宋体" w:eastAsia="宋体" w:cs="微软雅黑"/>
                <w:color w:val="000000" w:themeColor="text1"/>
                <w:szCs w:val="24"/>
                <w:highlight w:val="none"/>
                <w14:textFill>
                  <w14:solidFill>
                    <w14:schemeClr w14:val="tx1"/>
                  </w14:solidFill>
                </w14:textFill>
              </w:rPr>
              <w:t>pH/离子测量功能：</w:t>
            </w:r>
          </w:p>
          <w:p w14:paraId="1890B8BE">
            <w:pPr>
              <w:adjustRightInd w:val="0"/>
              <w:snapToGrid w:val="0"/>
              <w:rPr>
                <w:rFonts w:hint="eastAsia" w:ascii="宋体" w:hAnsi="宋体" w:eastAsia="宋体" w:cs="微软雅黑"/>
                <w:color w:val="000000" w:themeColor="text1"/>
                <w:szCs w:val="24"/>
                <w:highlight w:val="none"/>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3.1</w:t>
            </w:r>
            <w:r>
              <w:rPr>
                <w:rFonts w:hint="eastAsia" w:ascii="宋体" w:hAnsi="宋体" w:eastAsia="宋体" w:cs="微软雅黑"/>
                <w:color w:val="000000" w:themeColor="text1"/>
                <w:szCs w:val="24"/>
                <w:highlight w:val="none"/>
                <w14:textFill>
                  <w14:solidFill>
                    <w14:schemeClr w14:val="tx1"/>
                  </w14:solidFill>
                </w14:textFill>
              </w:rPr>
              <w:t>自动识别GB、DIN、NIST、USA、MERK、JIS等6组缓冲溶液，支持自定义标准溶液及标液组</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14570A42">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3.2</w:t>
            </w:r>
            <w:r>
              <w:rPr>
                <w:rFonts w:hint="eastAsia" w:ascii="宋体" w:hAnsi="宋体" w:eastAsia="宋体" w:cs="微软雅黑"/>
                <w:color w:val="000000" w:themeColor="text1"/>
                <w:szCs w:val="24"/>
                <w:highlight w:val="none"/>
                <w14:textFill>
                  <w14:solidFill>
                    <w14:schemeClr w14:val="tx1"/>
                  </w14:solidFill>
                </w14:textFill>
              </w:rPr>
              <w:t>支持(1~8)点pH电极或离子电极标定，1点ORP电极标定</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4DBD96C9">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3.3</w:t>
            </w:r>
            <w:r>
              <w:rPr>
                <w:rFonts w:hint="eastAsia" w:ascii="宋体" w:hAnsi="宋体" w:eastAsia="宋体" w:cs="微软雅黑"/>
                <w:color w:val="000000" w:themeColor="text1"/>
                <w:szCs w:val="24"/>
                <w:highlight w:val="none"/>
                <w14:textFill>
                  <w14:solidFill>
                    <w14:schemeClr w14:val="tx1"/>
                  </w14:solidFill>
                </w14:textFill>
              </w:rPr>
              <w:t>内置Na+、K+、NH4+、Cl-、F-等多种离子模式，允许用户自建</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1BA78A07">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3.4</w:t>
            </w:r>
            <w:r>
              <w:rPr>
                <w:rFonts w:hint="eastAsia" w:ascii="宋体" w:hAnsi="宋体" w:eastAsia="宋体" w:cs="微软雅黑"/>
                <w:color w:val="000000" w:themeColor="text1"/>
                <w:szCs w:val="24"/>
                <w:highlight w:val="none"/>
                <w14:textFill>
                  <w14:solidFill>
                    <w14:schemeClr w14:val="tx1"/>
                  </w14:solidFill>
                </w14:textFill>
              </w:rPr>
              <w:t>μg/L、mg/L、g/L、mol/L、mmol/L、ppm、ppb 多种离子浓度单位快速切换</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1B1FEEEF">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3.5</w:t>
            </w:r>
            <w:r>
              <w:rPr>
                <w:rFonts w:hint="eastAsia" w:ascii="宋体" w:hAnsi="宋体" w:eastAsia="宋体" w:cs="微软雅黑"/>
                <w:color w:val="000000" w:themeColor="text1"/>
                <w:szCs w:val="24"/>
                <w:highlight w:val="none"/>
                <w14:textFill>
                  <w14:solidFill>
                    <w14:schemeClr w14:val="tx1"/>
                  </w14:solidFill>
                </w14:textFill>
              </w:rPr>
              <w:t>测量模式：直读浓度法测量、标准添加法测量、样品添加法测量、GRAN法测量</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3D4093C1">
            <w:pPr>
              <w:adjustRightInd w:val="0"/>
              <w:snapToGrid w:val="0"/>
              <w:rPr>
                <w:rFonts w:hint="eastAsia" w:ascii="宋体" w:hAnsi="宋体" w:eastAsia="宋体" w:cs="微软雅黑"/>
                <w:color w:val="000000" w:themeColor="text1"/>
                <w:szCs w:val="24"/>
                <w:highlight w:val="none"/>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4.</w:t>
            </w:r>
            <w:r>
              <w:rPr>
                <w:rFonts w:hint="eastAsia" w:ascii="宋体" w:hAnsi="宋体" w:eastAsia="宋体" w:cs="微软雅黑"/>
                <w:color w:val="000000" w:themeColor="text1"/>
                <w:szCs w:val="24"/>
                <w:highlight w:val="none"/>
                <w14:textFill>
                  <w14:solidFill>
                    <w14:schemeClr w14:val="tx1"/>
                  </w14:solidFill>
                </w14:textFill>
              </w:rPr>
              <w:t>电导率测量功能：</w:t>
            </w:r>
          </w:p>
          <w:p w14:paraId="79D35DFE">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4.1</w:t>
            </w:r>
            <w:r>
              <w:rPr>
                <w:rFonts w:hint="eastAsia" w:ascii="宋体" w:hAnsi="宋体" w:eastAsia="宋体" w:cs="微软雅黑"/>
                <w:color w:val="000000" w:themeColor="text1"/>
                <w:szCs w:val="24"/>
                <w:highlight w:val="none"/>
                <w14:textFill>
                  <w14:solidFill>
                    <w14:schemeClr w14:val="tx1"/>
                  </w14:solidFill>
                </w14:textFill>
              </w:rPr>
              <w:t>在量程范围内，具有自动温度补偿、自动量程切换等功能</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2E2C63D8">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4.2</w:t>
            </w:r>
            <w:r>
              <w:rPr>
                <w:rFonts w:hint="eastAsia" w:ascii="宋体" w:hAnsi="宋体" w:eastAsia="宋体" w:cs="微软雅黑"/>
                <w:color w:val="000000" w:themeColor="text1"/>
                <w:szCs w:val="24"/>
                <w:highlight w:val="none"/>
                <w14:textFill>
                  <w14:solidFill>
                    <w14:schemeClr w14:val="tx1"/>
                  </w14:solidFill>
                </w14:textFill>
              </w:rPr>
              <w:t>自动识别GB和国际标准电导率溶液，支持1-5点电导电极标定</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4B7919B3">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4.3</w:t>
            </w:r>
            <w:r>
              <w:rPr>
                <w:rFonts w:hint="eastAsia" w:ascii="宋体" w:hAnsi="宋体" w:eastAsia="宋体" w:cs="微软雅黑"/>
                <w:color w:val="000000" w:themeColor="text1"/>
                <w:szCs w:val="24"/>
                <w:highlight w:val="none"/>
                <w14:textFill>
                  <w14:solidFill>
                    <w14:schemeClr w14:val="tx1"/>
                  </w14:solidFill>
                </w14:textFill>
              </w:rPr>
              <w:t>支持不补偿、线性、纯水补偿等多种电导率补偿方式</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7C9EF9E3">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4.4</w:t>
            </w:r>
            <w:r>
              <w:rPr>
                <w:rFonts w:hint="eastAsia" w:ascii="宋体" w:hAnsi="宋体" w:eastAsia="宋体" w:cs="微软雅黑"/>
                <w:color w:val="000000" w:themeColor="text1"/>
                <w:szCs w:val="24"/>
                <w:highlight w:val="none"/>
                <w14:textFill>
                  <w14:solidFill>
                    <w14:schemeClr w14:val="tx1"/>
                  </w14:solidFill>
                </w14:textFill>
              </w:rPr>
              <w:t>支持自动频率切换，配套电极可覆盖0.055μS/cm至满量程的测量</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4FF52199">
            <w:pPr>
              <w:adjustRightInd w:val="0"/>
              <w:snapToGrid w:val="0"/>
              <w:rPr>
                <w:rFonts w:hint="eastAsia" w:ascii="宋体" w:hAnsi="宋体" w:eastAsia="宋体" w:cs="微软雅黑"/>
                <w:color w:val="000000" w:themeColor="text1"/>
                <w:szCs w:val="24"/>
                <w:highlight w:val="none"/>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5.</w:t>
            </w:r>
            <w:r>
              <w:rPr>
                <w:rFonts w:hint="eastAsia" w:ascii="宋体" w:hAnsi="宋体" w:eastAsia="宋体" w:cs="微软雅黑"/>
                <w:color w:val="000000" w:themeColor="text1"/>
                <w:szCs w:val="24"/>
                <w:highlight w:val="none"/>
                <w14:textFill>
                  <w14:solidFill>
                    <w14:schemeClr w14:val="tx1"/>
                  </w14:solidFill>
                </w14:textFill>
              </w:rPr>
              <w:t>溶解氧测量功能：</w:t>
            </w:r>
          </w:p>
          <w:p w14:paraId="5EA012E9">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5.1</w:t>
            </w:r>
            <w:r>
              <w:rPr>
                <w:rFonts w:hint="eastAsia" w:ascii="宋体" w:hAnsi="宋体" w:eastAsia="宋体" w:cs="微软雅黑"/>
                <w:color w:val="000000" w:themeColor="text1"/>
                <w:szCs w:val="24"/>
                <w:highlight w:val="none"/>
                <w14:textFill>
                  <w14:solidFill>
                    <w14:schemeClr w14:val="tx1"/>
                  </w14:solidFill>
                </w14:textFill>
              </w:rPr>
              <w:t>支持自动温度补偿、自动大气压补偿(单位可选kPa、mbar、Torr、Atm)</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52EA6D49">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5.2</w:t>
            </w:r>
            <w:r>
              <w:rPr>
                <w:rFonts w:hint="eastAsia" w:ascii="宋体" w:hAnsi="宋体" w:eastAsia="宋体" w:cs="微软雅黑"/>
                <w:color w:val="000000" w:themeColor="text1"/>
                <w:szCs w:val="24"/>
                <w:highlight w:val="none"/>
                <w14:textFill>
                  <w14:solidFill>
                    <w14:schemeClr w14:val="tx1"/>
                  </w14:solidFill>
                </w14:textFill>
              </w:rPr>
              <w:t>支持零氧标定和满度标定</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250905A0">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5.3</w:t>
            </w:r>
            <w:r>
              <w:rPr>
                <w:rFonts w:hint="eastAsia" w:ascii="宋体" w:hAnsi="宋体" w:eastAsia="宋体" w:cs="微软雅黑"/>
                <w:color w:val="000000" w:themeColor="text1"/>
                <w:szCs w:val="24"/>
                <w:highlight w:val="none"/>
                <w14:textFill>
                  <w14:solidFill>
                    <w14:schemeClr w14:val="tx1"/>
                  </w14:solidFill>
                </w14:textFill>
              </w:rPr>
              <w:t>支持手动盐度补偿功能</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7274E75F">
            <w:pPr>
              <w:adjustRightInd w:val="0"/>
              <w:snapToGrid w:val="0"/>
              <w:rPr>
                <w:rFonts w:hint="eastAsia" w:ascii="宋体" w:hAnsi="宋体" w:eastAsia="宋体" w:cs="微软雅黑"/>
                <w:color w:val="000000" w:themeColor="text1"/>
                <w:szCs w:val="24"/>
                <w:highlight w:val="none"/>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6.</w:t>
            </w:r>
            <w:r>
              <w:rPr>
                <w:rFonts w:hint="eastAsia" w:ascii="宋体" w:hAnsi="宋体" w:eastAsia="宋体" w:cs="微软雅黑"/>
                <w:color w:val="000000" w:themeColor="text1"/>
                <w:szCs w:val="24"/>
                <w:highlight w:val="none"/>
                <w14:textFill>
                  <w14:solidFill>
                    <w14:schemeClr w14:val="tx1"/>
                  </w14:solidFill>
                </w14:textFill>
              </w:rPr>
              <w:t>浊度测量模块</w:t>
            </w:r>
          </w:p>
          <w:p w14:paraId="6555755A">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6.1</w:t>
            </w:r>
            <w:r>
              <w:rPr>
                <w:rFonts w:hint="eastAsia" w:ascii="宋体" w:hAnsi="宋体" w:eastAsia="宋体" w:cs="微软雅黑"/>
                <w:color w:val="000000" w:themeColor="text1"/>
                <w:szCs w:val="24"/>
                <w:highlight w:val="none"/>
                <w14:textFill>
                  <w14:solidFill>
                    <w14:schemeClr w14:val="tx1"/>
                  </w14:solidFill>
                </w14:textFill>
              </w:rPr>
              <w:t>红外LED光源，符合ISO 7027和HJ 1075标准</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7344FF1B">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6.2</w:t>
            </w:r>
            <w:r>
              <w:rPr>
                <w:rFonts w:hint="eastAsia" w:ascii="宋体" w:hAnsi="宋体" w:eastAsia="宋体" w:cs="微软雅黑"/>
                <w:color w:val="000000" w:themeColor="text1"/>
                <w:szCs w:val="24"/>
                <w:highlight w:val="none"/>
                <w14:textFill>
                  <w14:solidFill>
                    <w14:schemeClr w14:val="tx1"/>
                  </w14:solidFill>
                </w14:textFill>
              </w:rPr>
              <w:t>采用散射和散射-透射光测量原理</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209E240C">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6.3</w:t>
            </w:r>
            <w:r>
              <w:rPr>
                <w:rFonts w:hint="eastAsia" w:ascii="宋体" w:hAnsi="宋体" w:eastAsia="宋体" w:cs="微软雅黑"/>
                <w:color w:val="000000" w:themeColor="text1"/>
                <w:szCs w:val="24"/>
                <w:highlight w:val="none"/>
                <w14:textFill>
                  <w14:solidFill>
                    <w14:schemeClr w14:val="tx1"/>
                  </w14:solidFill>
                </w14:textFill>
              </w:rPr>
              <w:t>IP65防护等级</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44673AEA">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6.4</w:t>
            </w:r>
            <w:r>
              <w:rPr>
                <w:rFonts w:hint="eastAsia" w:ascii="宋体" w:hAnsi="宋体" w:eastAsia="宋体" w:cs="微软雅黑"/>
                <w:color w:val="000000" w:themeColor="text1"/>
                <w:szCs w:val="24"/>
                <w:highlight w:val="none"/>
                <w14:textFill>
                  <w14:solidFill>
                    <w14:schemeClr w14:val="tx1"/>
                  </w14:solidFill>
                </w14:textFill>
              </w:rPr>
              <w:t>标配浊度瓶，便携式防护箱</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2C2F3A27">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6.5</w:t>
            </w:r>
            <w:r>
              <w:rPr>
                <w:rFonts w:hint="eastAsia" w:ascii="宋体" w:hAnsi="宋体" w:eastAsia="宋体" w:cs="微软雅黑"/>
                <w:color w:val="000000" w:themeColor="text1"/>
                <w:szCs w:val="24"/>
                <w:highlight w:val="none"/>
                <w14:textFill>
                  <w14:solidFill>
                    <w14:schemeClr w14:val="tx1"/>
                  </w14:solidFill>
                </w14:textFill>
              </w:rPr>
              <w:t>标配长效浊度校准套装 20/200/500/1000/2000NTU</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3DE1937F">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6.6</w:t>
            </w:r>
            <w:r>
              <w:rPr>
                <w:rFonts w:hint="eastAsia" w:ascii="宋体" w:hAnsi="宋体" w:eastAsia="宋体" w:cs="微软雅黑"/>
                <w:color w:val="000000" w:themeColor="text1"/>
                <w:szCs w:val="24"/>
                <w:highlight w:val="none"/>
                <w14:textFill>
                  <w14:solidFill>
                    <w14:schemeClr w14:val="tx1"/>
                  </w14:solidFill>
                </w14:textFill>
              </w:rPr>
              <w:t>支持数据存储(2000组)、查阅、删除、传输和打印</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02766213">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6.7</w:t>
            </w:r>
            <w:r>
              <w:rPr>
                <w:rFonts w:hint="eastAsia" w:ascii="宋体" w:hAnsi="宋体" w:eastAsia="宋体" w:cs="微软雅黑"/>
                <w:color w:val="000000" w:themeColor="text1"/>
                <w:szCs w:val="24"/>
                <w:highlight w:val="none"/>
                <w14:textFill>
                  <w14:solidFill>
                    <w14:schemeClr w14:val="tx1"/>
                  </w14:solidFill>
                </w14:textFill>
              </w:rPr>
              <w:t>符合HJ 1075-2019 水质 浊度的测定 浊度计法</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7505A7C3">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6.8</w:t>
            </w:r>
            <w:r>
              <w:rPr>
                <w:rFonts w:hint="eastAsia" w:ascii="宋体" w:hAnsi="宋体" w:eastAsia="宋体" w:cs="微软雅黑"/>
                <w:color w:val="000000" w:themeColor="text1"/>
                <w:szCs w:val="24"/>
                <w:highlight w:val="none"/>
                <w14:textFill>
                  <w14:solidFill>
                    <w14:schemeClr w14:val="tx1"/>
                  </w14:solidFill>
                </w14:textFill>
              </w:rPr>
              <w:t>光源：860nm LED</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7D2FA000">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6.9</w:t>
            </w:r>
            <w:r>
              <w:rPr>
                <w:rFonts w:hint="eastAsia" w:ascii="宋体" w:hAnsi="宋体" w:eastAsia="宋体" w:cs="微软雅黑"/>
                <w:color w:val="000000" w:themeColor="text1"/>
                <w:szCs w:val="24"/>
                <w:highlight w:val="none"/>
                <w14:textFill>
                  <w14:solidFill>
                    <w14:schemeClr w14:val="tx1"/>
                  </w14:solidFill>
                </w14:textFill>
              </w:rPr>
              <w:t>测量范围：0-2000 NTU</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70BE1ABE">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6.10</w:t>
            </w:r>
            <w:r>
              <w:rPr>
                <w:rFonts w:hint="eastAsia" w:ascii="宋体" w:hAnsi="宋体" w:eastAsia="宋体" w:cs="微软雅黑"/>
                <w:color w:val="000000" w:themeColor="text1"/>
                <w:szCs w:val="24"/>
                <w:highlight w:val="none"/>
                <w14:textFill>
                  <w14:solidFill>
                    <w14:schemeClr w14:val="tx1"/>
                  </w14:solidFill>
                </w14:textFill>
              </w:rPr>
              <w:t>分辨率：0.01/0.1/1 NTU</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67D01CDA">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6.11</w:t>
            </w:r>
            <w:r>
              <w:rPr>
                <w:rFonts w:hint="eastAsia" w:ascii="宋体" w:hAnsi="宋体" w:eastAsia="宋体" w:cs="微软雅黑"/>
                <w:color w:val="000000" w:themeColor="text1"/>
                <w:szCs w:val="24"/>
                <w:highlight w:val="none"/>
                <w14:textFill>
                  <w14:solidFill>
                    <w14:schemeClr w14:val="tx1"/>
                  </w14:solidFill>
                </w14:textFill>
              </w:rPr>
              <w:t>示值误差：±6%</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76EFE196">
            <w:pPr>
              <w:adjustRightInd w:val="0"/>
              <w:snapToGrid w:val="0"/>
              <w:rPr>
                <w:rFonts w:hint="eastAsia" w:ascii="宋体" w:hAnsi="宋体" w:eastAsia="宋体" w:cs="微软雅黑"/>
                <w:color w:val="000000" w:themeColor="text1"/>
                <w:szCs w:val="24"/>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6.12</w:t>
            </w:r>
            <w:r>
              <w:rPr>
                <w:rFonts w:hint="eastAsia" w:ascii="宋体" w:hAnsi="宋体" w:eastAsia="宋体" w:cs="微软雅黑"/>
                <w:color w:val="000000" w:themeColor="text1"/>
                <w:szCs w:val="24"/>
                <w:highlight w:val="none"/>
                <w14:textFill>
                  <w14:solidFill>
                    <w14:schemeClr w14:val="tx1"/>
                  </w14:solidFill>
                </w14:textFill>
              </w:rPr>
              <w:t>重复性：≤0.5％</w:t>
            </w:r>
            <w:r>
              <w:rPr>
                <w:rFonts w:hint="eastAsia" w:ascii="宋体" w:hAnsi="宋体" w:eastAsia="宋体" w:cs="微软雅黑"/>
                <w:color w:val="000000" w:themeColor="text1"/>
                <w:szCs w:val="24"/>
                <w:highlight w:val="none"/>
                <w:lang w:eastAsia="zh-CN"/>
                <w14:textFill>
                  <w14:solidFill>
                    <w14:schemeClr w14:val="tx1"/>
                  </w14:solidFill>
                </w14:textFill>
              </w:rPr>
              <w:t>；</w:t>
            </w:r>
          </w:p>
          <w:p w14:paraId="46E3B3C2">
            <w:pPr>
              <w:widowControl/>
              <w:adjustRightInd w:val="0"/>
              <w:snapToGrid w:val="0"/>
              <w:jc w:val="left"/>
              <w:textAlignment w:val="auto"/>
              <w:rPr>
                <w:rFonts w:hint="eastAsia" w:ascii="宋体" w:hAnsi="宋体" w:eastAsia="宋体" w:cs="宋体"/>
                <w:color w:val="000000" w:themeColor="text1"/>
                <w:sz w:val="22"/>
                <w:szCs w:val="22"/>
                <w:highlight w:val="none"/>
                <w:lang w:eastAsia="zh-CN"/>
                <w14:textFill>
                  <w14:solidFill>
                    <w14:schemeClr w14:val="tx1"/>
                  </w14:solidFill>
                </w14:textFill>
              </w:rPr>
            </w:pPr>
            <w:r>
              <w:rPr>
                <w:rFonts w:hint="eastAsia" w:ascii="宋体" w:hAnsi="宋体" w:eastAsia="宋体" w:cs="微软雅黑"/>
                <w:color w:val="000000" w:themeColor="text1"/>
                <w:szCs w:val="24"/>
                <w:highlight w:val="none"/>
                <w:lang w:val="en-US" w:eastAsia="zh-CN"/>
                <w14:textFill>
                  <w14:solidFill>
                    <w14:schemeClr w14:val="tx1"/>
                  </w14:solidFill>
                </w14:textFill>
              </w:rPr>
              <w:t>6.13</w:t>
            </w:r>
            <w:r>
              <w:rPr>
                <w:rFonts w:hint="eastAsia" w:ascii="宋体" w:hAnsi="宋体" w:eastAsia="宋体" w:cs="微软雅黑"/>
                <w:color w:val="000000" w:themeColor="text1"/>
                <w:szCs w:val="24"/>
                <w:highlight w:val="none"/>
                <w14:textFill>
                  <w14:solidFill>
                    <w14:schemeClr w14:val="tx1"/>
                  </w14:solidFill>
                </w14:textFill>
              </w:rPr>
              <w:t>稳定性：±0.5%FS/30min</w:t>
            </w:r>
            <w:r>
              <w:rPr>
                <w:rFonts w:hint="eastAsia" w:ascii="宋体" w:hAnsi="宋体" w:eastAsia="宋体" w:cs="微软雅黑"/>
                <w:color w:val="000000" w:themeColor="text1"/>
                <w:szCs w:val="24"/>
                <w:highlight w:val="none"/>
                <w:lang w:eastAsia="zh-CN"/>
                <w14:textFill>
                  <w14:solidFill>
                    <w14:schemeClr w14:val="tx1"/>
                  </w14:solidFill>
                </w14:textFill>
              </w:rPr>
              <w:t>；</w:t>
            </w:r>
          </w:p>
        </w:tc>
      </w:tr>
      <w:tr w14:paraId="61656CA9">
        <w:tblPrEx>
          <w:tblCellMar>
            <w:top w:w="0" w:type="dxa"/>
            <w:left w:w="108" w:type="dxa"/>
            <w:bottom w:w="0" w:type="dxa"/>
            <w:right w:w="108"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34524384">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29</w:t>
            </w:r>
          </w:p>
        </w:tc>
        <w:tc>
          <w:tcPr>
            <w:tcW w:w="3051" w:type="dxa"/>
            <w:tcBorders>
              <w:top w:val="single" w:color="000000" w:sz="8" w:space="0"/>
              <w:left w:val="single" w:color="000000" w:sz="8" w:space="0"/>
              <w:bottom w:val="single" w:color="000000" w:sz="8" w:space="0"/>
              <w:right w:val="single" w:color="000000" w:sz="8" w:space="0"/>
            </w:tcBorders>
            <w:vAlign w:val="center"/>
          </w:tcPr>
          <w:p w14:paraId="3BFC4065">
            <w:pPr>
              <w:widowControl/>
              <w:snapToGrid w:val="0"/>
              <w:jc w:val="left"/>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万分之一分析天平</w:t>
            </w:r>
          </w:p>
        </w:tc>
        <w:tc>
          <w:tcPr>
            <w:tcW w:w="10247" w:type="dxa"/>
            <w:tcBorders>
              <w:top w:val="single" w:color="000000" w:sz="8" w:space="0"/>
              <w:left w:val="single" w:color="000000" w:sz="8" w:space="0"/>
              <w:bottom w:val="single" w:color="000000" w:sz="8" w:space="0"/>
              <w:right w:val="single" w:color="000000" w:sz="8" w:space="0"/>
            </w:tcBorders>
            <w:vAlign w:val="center"/>
          </w:tcPr>
          <w:p w14:paraId="61C3D5C2">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1.单台（套）主要配置</w:t>
            </w:r>
          </w:p>
          <w:p w14:paraId="7B7C6111">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主机：万分之一电子分析天平，标准配置，含主机、外部校准砝码、电源 1台</w:t>
            </w:r>
          </w:p>
          <w:p w14:paraId="53EBB4B5">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2.技术参数</w:t>
            </w:r>
          </w:p>
          <w:p w14:paraId="4670866E">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2.1 配有LED触摸屏。</w:t>
            </w:r>
          </w:p>
          <w:p w14:paraId="5D236827">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2.2自动检测并通知校准结果是否超出正常范围。</w:t>
            </w:r>
          </w:p>
          <w:p w14:paraId="7DB49D78">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2.3使用单体模块传感器，具备自测试功能（开机自检、水平调平等）。</w:t>
            </w:r>
          </w:p>
          <w:p w14:paraId="061B289F">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2.4不锈钢称量盘，配置滑行玻璃防风罩，防风玻璃罩可完全拆卸便于清洁，并镀有特殊涂层，能有效减小样品带静电引起的称量误差。</w:t>
            </w:r>
          </w:p>
          <w:p w14:paraId="1B34FFE9">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▲2.5量程：220g，可读性：0.1mg，典型重复性：≤±0.08mg（负载为5%时），≤±0.1mg（满量程时），线性典型值：≤±0.06mg。</w:t>
            </w:r>
          </w:p>
          <w:p w14:paraId="43F5D64B">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2.6稳定时间：≤1.5s。</w:t>
            </w:r>
          </w:p>
          <w:p w14:paraId="4A28AB6B">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2.7灵敏度漂移（10℃～30℃）：优于（含）±1.5ppm/℃。</w:t>
            </w:r>
          </w:p>
        </w:tc>
      </w:tr>
      <w:tr w14:paraId="1570F7CC">
        <w:tblPrEx>
          <w:tblCellMar>
            <w:top w:w="0" w:type="dxa"/>
            <w:left w:w="108" w:type="dxa"/>
            <w:bottom w:w="0" w:type="dxa"/>
            <w:right w:w="108" w:type="dxa"/>
          </w:tblCellMar>
        </w:tblPrEx>
        <w:trPr>
          <w:trHeight w:val="1416"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14:paraId="0071B63F">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sz w:val="22"/>
                <w:szCs w:val="24"/>
                <w:highlight w:val="none"/>
                <w14:textFill>
                  <w14:solidFill>
                    <w14:schemeClr w14:val="tx1"/>
                  </w14:solidFill>
                </w14:textFill>
              </w:rPr>
              <w:t>30</w:t>
            </w:r>
          </w:p>
        </w:tc>
        <w:tc>
          <w:tcPr>
            <w:tcW w:w="3051" w:type="dxa"/>
            <w:tcBorders>
              <w:top w:val="single" w:color="000000" w:sz="8" w:space="0"/>
              <w:left w:val="single" w:color="000000" w:sz="8" w:space="0"/>
              <w:bottom w:val="single" w:color="000000" w:sz="8" w:space="0"/>
              <w:right w:val="single" w:color="000000" w:sz="8" w:space="0"/>
            </w:tcBorders>
            <w:vAlign w:val="center"/>
          </w:tcPr>
          <w:p w14:paraId="6FBECF40">
            <w:pPr>
              <w:widowControl/>
              <w:snapToGrid w:val="0"/>
              <w:jc w:val="left"/>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智能高精度综合校准仪</w:t>
            </w:r>
          </w:p>
        </w:tc>
        <w:tc>
          <w:tcPr>
            <w:tcW w:w="10247" w:type="dxa"/>
            <w:tcBorders>
              <w:top w:val="single" w:color="000000" w:sz="8" w:space="0"/>
              <w:left w:val="single" w:color="000000" w:sz="8" w:space="0"/>
              <w:bottom w:val="single" w:color="000000" w:sz="8" w:space="0"/>
              <w:right w:val="single" w:color="000000" w:sz="8" w:space="0"/>
            </w:tcBorders>
            <w:vAlign w:val="center"/>
          </w:tcPr>
          <w:p w14:paraId="77331C3C">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1.执行标准；</w:t>
            </w:r>
          </w:p>
          <w:p w14:paraId="372A81D2">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HJ/T368-2007  标定总悬浮颗粒物采样器用的孔口流量计技术要求及检测方法</w:t>
            </w:r>
          </w:p>
          <w:p w14:paraId="2D37AD10">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JJG 640—2016 差压式流量计检定规程</w:t>
            </w:r>
          </w:p>
          <w:p w14:paraId="304030F8">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2.主要性能：</w:t>
            </w:r>
          </w:p>
          <w:p w14:paraId="10E5CCD0">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▲2.1可完成多路量程流量测量，多路流量可同时运行，同步进行校准。</w:t>
            </w:r>
          </w:p>
          <w:p w14:paraId="137EF85F">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2.2具有流量计处计温、计压测量功能，能自动进行标况、参比、环境等多种状态下流量换算。</w:t>
            </w:r>
          </w:p>
          <w:p w14:paraId="195F8F44">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2.3具有环境温度和大气压测量功能。</w:t>
            </w:r>
          </w:p>
          <w:p w14:paraId="3A8CCAE6">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2.4具有常用PT100烟温标定和验证功能（包括0℃</w:t>
            </w:r>
            <w:r>
              <w:rPr>
                <w:rFonts w:hint="eastAsia" w:ascii="宋体" w:hAnsi="宋体" w:eastAsia="宋体" w:cs="宋体"/>
                <w:color w:val="000000" w:themeColor="text1"/>
                <w:sz w:val="22"/>
                <w:szCs w:val="22"/>
                <w:highlight w:val="none"/>
                <w:lang w:eastAsia="zh-CN"/>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400℃），具有干湿球标定功能。</w:t>
            </w:r>
          </w:p>
          <w:p w14:paraId="2DC5B3FF">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2.5可对烟尘采样器的动压、静压、烟温、流量行校准。</w:t>
            </w:r>
          </w:p>
          <w:p w14:paraId="7C12D4D3">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2.6配有高能锂电池，可在无外接电源适配器的情况下工作。</w:t>
            </w:r>
          </w:p>
          <w:p w14:paraId="2AA89FB4">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2.7具备数据存储、查询、打印和导出功能。</w:t>
            </w:r>
          </w:p>
          <w:p w14:paraId="5D1BDF8B">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2.8支持无线蓝牙打印。</w:t>
            </w:r>
          </w:p>
          <w:p w14:paraId="33F37AD5">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2.9 有USB接口，可将数据文件导出，同时支持仪器软件升级。</w:t>
            </w:r>
          </w:p>
          <w:p w14:paraId="0BD0CE2F">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2.10 触摸屏设计。</w:t>
            </w:r>
          </w:p>
          <w:p w14:paraId="69D6A436">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2.11仪器内置电子标签，可与仪器出入库管理平台软件配合实现仪器智能化管理</w:t>
            </w:r>
          </w:p>
          <w:p w14:paraId="407BE715">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3.技术参数：</w:t>
            </w:r>
          </w:p>
          <w:p w14:paraId="7B8B2E35">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3.1流量范围：</w:t>
            </w: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0</w:t>
            </w:r>
            <w:r>
              <w:rPr>
                <w:rFonts w:hint="eastAsia" w:ascii="宋体" w:hAnsi="宋体" w:eastAsia="宋体" w:cs="宋体"/>
                <w:color w:val="000000" w:themeColor="text1"/>
                <w:sz w:val="21"/>
                <w:szCs w:val="21"/>
                <w:highlight w:val="none"/>
                <w14:textFill>
                  <w14:solidFill>
                    <w14:schemeClr w14:val="tx1"/>
                  </w14:solidFill>
                </w14:textFill>
              </w:rPr>
              <w:t>mL/min～230L/min</w:t>
            </w:r>
            <w:r>
              <w:rPr>
                <w:rFonts w:hint="eastAsia" w:ascii="宋体" w:hAnsi="宋体" w:eastAsia="宋体" w:cs="宋体"/>
                <w:color w:val="000000" w:themeColor="text1"/>
                <w:sz w:val="22"/>
                <w:szCs w:val="22"/>
                <w:highlight w:val="none"/>
                <w14:textFill>
                  <w14:solidFill>
                    <w14:schemeClr w14:val="tx1"/>
                  </w14:solidFill>
                </w14:textFill>
              </w:rPr>
              <w:t>；</w:t>
            </w:r>
          </w:p>
          <w:p w14:paraId="3642D84D">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3.2分辨率：微小流量</w:t>
            </w:r>
            <w:r>
              <w:rPr>
                <w:rFonts w:hint="eastAsia" w:ascii="宋体" w:hAnsi="宋体" w:eastAsia="宋体" w:cs="宋体"/>
                <w:color w:val="000000" w:themeColor="text1"/>
                <w:sz w:val="22"/>
                <w:szCs w:val="22"/>
                <w:highlight w:val="none"/>
                <w:lang w:eastAsia="zh-CN"/>
                <w14:textFill>
                  <w14:solidFill>
                    <w14:schemeClr w14:val="tx1"/>
                  </w14:solidFill>
                </w14:textFill>
              </w:rPr>
              <w:t>及小流量</w:t>
            </w:r>
            <w:r>
              <w:rPr>
                <w:rFonts w:hint="eastAsia" w:ascii="宋体" w:hAnsi="宋体" w:eastAsia="宋体" w:cs="宋体"/>
                <w:color w:val="000000" w:themeColor="text1"/>
                <w:sz w:val="22"/>
                <w:szCs w:val="22"/>
                <w:highlight w:val="none"/>
                <w14:textFill>
                  <w14:solidFill>
                    <w14:schemeClr w14:val="tx1"/>
                  </w14:solidFill>
                </w14:textFill>
              </w:rPr>
              <w:t>分辨率：0.1mL/min、中流量分辨率：0.1L/min。</w:t>
            </w:r>
          </w:p>
          <w:p w14:paraId="0AF8F884">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3.3准确度：不超过±1%；重复性：不超过0.5%</w:t>
            </w:r>
          </w:p>
          <w:p w14:paraId="0FA51716">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3.4微压：(-5000～5000)Pa，分辨率：0.1Pa，准确度：不超过±1%FS</w:t>
            </w:r>
          </w:p>
          <w:p w14:paraId="5E2CD044">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3.5表压：(-60～60)kPa，分辨率：0.001kPa，准确度：不超过±0.5%FS</w:t>
            </w:r>
          </w:p>
          <w:p w14:paraId="42B43A67">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3.6电池工作时间：不小于8h。</w:t>
            </w:r>
          </w:p>
          <w:p w14:paraId="01736109">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3.7主机重量：不大于2.5kg。</w:t>
            </w:r>
          </w:p>
          <w:p w14:paraId="043D3AD0">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4.仪器配置：</w:t>
            </w:r>
          </w:p>
          <w:p w14:paraId="2CFA702F">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 xml:space="preserve"> 主机1套、主机箱1个、转接嘴1个、充电器1套、阻力模块1个。</w:t>
            </w:r>
          </w:p>
        </w:tc>
      </w:tr>
      <w:tr w14:paraId="68E44D6D">
        <w:tblPrEx>
          <w:tblCellMar>
            <w:top w:w="0" w:type="dxa"/>
            <w:left w:w="108" w:type="dxa"/>
            <w:bottom w:w="0" w:type="dxa"/>
            <w:right w:w="108" w:type="dxa"/>
          </w:tblCellMar>
        </w:tblPrEx>
        <w:trPr>
          <w:jc w:val="center"/>
        </w:trPr>
        <w:tc>
          <w:tcPr>
            <w:tcW w:w="876" w:type="dxa"/>
            <w:tcBorders>
              <w:top w:val="single" w:color="000000" w:sz="8" w:space="0"/>
              <w:left w:val="single" w:color="000000" w:sz="8" w:space="0"/>
              <w:bottom w:val="single" w:color="000000" w:sz="8" w:space="0"/>
              <w:right w:val="single" w:color="000000" w:sz="8" w:space="0"/>
            </w:tcBorders>
            <w:noWrap/>
            <w:vAlign w:val="center"/>
          </w:tcPr>
          <w:p w14:paraId="744B4F1C">
            <w:pPr>
              <w:widowControl/>
              <w:snapToGrid w:val="0"/>
              <w:jc w:val="center"/>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31</w:t>
            </w:r>
          </w:p>
        </w:tc>
        <w:tc>
          <w:tcPr>
            <w:tcW w:w="3051" w:type="dxa"/>
            <w:tcBorders>
              <w:top w:val="single" w:color="000000" w:sz="8" w:space="0"/>
              <w:left w:val="single" w:color="000000" w:sz="8" w:space="0"/>
              <w:bottom w:val="single" w:color="000000" w:sz="8" w:space="0"/>
              <w:right w:val="single" w:color="000000" w:sz="8" w:space="0"/>
            </w:tcBorders>
            <w:vAlign w:val="center"/>
          </w:tcPr>
          <w:p w14:paraId="079F5C57">
            <w:pPr>
              <w:widowControl/>
              <w:snapToGrid w:val="0"/>
              <w:jc w:val="left"/>
              <w:textAlignment w:val="center"/>
              <w:rPr>
                <w:rFonts w:hint="eastAsia" w:ascii="宋体" w:hAnsi="宋体" w:eastAsia="宋体" w:cs="宋体"/>
                <w:color w:val="000000" w:themeColor="text1"/>
                <w:sz w:val="22"/>
                <w:szCs w:val="24"/>
                <w:highlight w:val="none"/>
                <w14:textFill>
                  <w14:solidFill>
                    <w14:schemeClr w14:val="tx1"/>
                  </w14:solidFill>
                </w14:textFill>
              </w:rPr>
            </w:pPr>
            <w:r>
              <w:rPr>
                <w:rFonts w:hint="eastAsia" w:ascii="宋体" w:hAnsi="宋体" w:eastAsia="宋体" w:cs="宋体"/>
                <w:color w:val="000000" w:themeColor="text1"/>
                <w:kern w:val="0"/>
                <w:sz w:val="22"/>
                <w:szCs w:val="24"/>
                <w:highlight w:val="none"/>
                <w:lang w:bidi="ar"/>
                <w14:textFill>
                  <w14:solidFill>
                    <w14:schemeClr w14:val="tx1"/>
                  </w14:solidFill>
                </w14:textFill>
              </w:rPr>
              <w:t>智能双路烟气采样仪</w:t>
            </w:r>
          </w:p>
        </w:tc>
        <w:tc>
          <w:tcPr>
            <w:tcW w:w="10247" w:type="dxa"/>
            <w:tcBorders>
              <w:top w:val="single" w:color="000000" w:sz="8" w:space="0"/>
              <w:left w:val="single" w:color="000000" w:sz="8" w:space="0"/>
              <w:bottom w:val="single" w:color="000000" w:sz="8" w:space="0"/>
              <w:right w:val="single" w:color="000000" w:sz="8" w:space="0"/>
            </w:tcBorders>
            <w:vAlign w:val="center"/>
          </w:tcPr>
          <w:p w14:paraId="7C4BFED8">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一．主要性能</w:t>
            </w:r>
          </w:p>
          <w:p w14:paraId="4455B800">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1、内置大容量充电锂电池，可同时给主机和加热取样管供电，低电量时自动报警</w:t>
            </w:r>
          </w:p>
          <w:p w14:paraId="171FF823">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▲2、具有自动定位、授时、防篡改功能</w:t>
            </w:r>
          </w:p>
          <w:p w14:paraId="2045CC9F">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3、可以两路同时采样，也可任意单路采样，每路采样都可以单独控制。</w:t>
            </w:r>
          </w:p>
          <w:p w14:paraId="23CB2A7A">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▲4、可以测量烟气温度、流速等参数，计算烟气流量、排放量；</w:t>
            </w:r>
          </w:p>
          <w:p w14:paraId="30C4F874">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5 、 实时监测采样流量，自动控制采样流量在设定的流量点，自动补偿因温度波动和阻力变化引起的流量变化；</w:t>
            </w:r>
          </w:p>
          <w:p w14:paraId="2195D7C9">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6、自动累计采样体积，并同时根据气压、温度换算标况采样体积</w:t>
            </w:r>
          </w:p>
          <w:p w14:paraId="554C44AE">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7、断电保护功能，采样过程中实时保存运行数据，来电自动恢复采样</w:t>
            </w:r>
          </w:p>
          <w:p w14:paraId="71390DF8">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二、技术指标</w:t>
            </w:r>
          </w:p>
          <w:p w14:paraId="7075B792">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采样流量：(0.2～1.5)L/min ，分辨率≤0.01L/min，最大允许误差优于（含）±2.0%；</w:t>
            </w:r>
          </w:p>
          <w:p w14:paraId="0A04E810">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计前压力：(-30～10)kPa，分辨率≤0.01kPa，最大允许误差优于（含）±2.0%；</w:t>
            </w:r>
          </w:p>
          <w:p w14:paraId="30508843">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采样时间：1min～23h59min，分辨率≤1s，最大允许误差优于（含）±0.1%；</w:t>
            </w:r>
          </w:p>
          <w:p w14:paraId="3C0BF6DF">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采样体积：(0～9999.99)L，分辨率≤0.01L；</w:t>
            </w:r>
          </w:p>
          <w:p w14:paraId="4DB605E2">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主机功耗：≤15W；</w:t>
            </w:r>
          </w:p>
          <w:p w14:paraId="31B8D38A">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烟气温度：（0～500）℃     分辨率≤1℃</w:t>
            </w:r>
          </w:p>
          <w:p w14:paraId="3C4718F7">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烟气静压：（-30～+30）kPa 分辨率≤0.01kPa</w:t>
            </w:r>
          </w:p>
          <w:p w14:paraId="551B6831">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烟气动压：（0～2000）Pa 分辨率≤1Pa</w:t>
            </w:r>
          </w:p>
          <w:p w14:paraId="2EF8735A">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 xml:space="preserve">配置 </w:t>
            </w:r>
          </w:p>
          <w:p w14:paraId="06B6F179">
            <w:pPr>
              <w:widowControl/>
              <w:snapToGrid w:val="0"/>
              <w:jc w:val="left"/>
              <w:textAlignment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主机    吸收瓶挂架   三脚支架   电源输出线   干燥筒 。</w:t>
            </w:r>
          </w:p>
        </w:tc>
      </w:tr>
    </w:tbl>
    <w:p w14:paraId="00F5764F">
      <w:pPr>
        <w:spacing w:line="360" w:lineRule="auto"/>
        <w:jc w:val="both"/>
      </w:pPr>
    </w:p>
    <w:p w14:paraId="28197F48">
      <w:pPr>
        <w:spacing w:line="360" w:lineRule="auto"/>
        <w:rPr>
          <w:rFonts w:hint="eastAsia" w:ascii="宋体" w:hAnsi="宋体" w:cs="宋体"/>
          <w:b/>
          <w:sz w:val="24"/>
          <w:lang w:bidi="ar"/>
        </w:rPr>
      </w:pPr>
    </w:p>
    <w:p w14:paraId="7534C5B8">
      <w:pPr>
        <w:tabs>
          <w:tab w:val="left" w:pos="426"/>
        </w:tabs>
        <w:spacing w:line="360" w:lineRule="auto"/>
        <w:ind w:firstLine="482" w:firstLineChars="200"/>
        <w:rPr>
          <w:rFonts w:hint="eastAsia" w:ascii="宋体" w:hAnsi="宋体" w:cs="宋体"/>
          <w:color w:val="000000" w:themeColor="text1"/>
          <w:sz w:val="24"/>
          <w14:textFill>
            <w14:solidFill>
              <w14:schemeClr w14:val="tx1"/>
            </w14:solidFill>
          </w14:textFill>
        </w:rPr>
      </w:pPr>
      <w:r>
        <w:rPr>
          <w:rFonts w:hint="eastAsia" w:ascii="宋体" w:hAnsi="宋体" w:cs="宋体"/>
          <w:b/>
          <w:sz w:val="24"/>
          <w:lang w:bidi="ar"/>
        </w:rPr>
        <w:t>注：1.本章采购需求及技术参数要求中如出现引用某一特定的专利技术、商标、名称、设计、原产地或供应者等情况，则仅起参考作用。投标单位可选用实质上“相当于”或“优于”该参考技术规格要求的产品，同时填写技术参数响应偏离表。</w:t>
      </w:r>
    </w:p>
    <w:p w14:paraId="04921883">
      <w:pPr>
        <w:tabs>
          <w:tab w:val="left" w:pos="426"/>
        </w:tabs>
        <w:spacing w:line="360" w:lineRule="auto"/>
        <w:ind w:firstLine="482" w:firstLineChars="200"/>
        <w:rPr>
          <w:rFonts w:hint="eastAsia" w:ascii="宋体" w:hAnsi="宋体" w:cs="宋体"/>
          <w:b/>
          <w:sz w:val="24"/>
          <w:lang w:bidi="ar"/>
        </w:rPr>
        <w:sectPr>
          <w:pgSz w:w="16838" w:h="11906" w:orient="landscape"/>
          <w:pgMar w:top="1803" w:right="1440" w:bottom="1803" w:left="1440" w:header="851" w:footer="992" w:gutter="0"/>
          <w:pgNumType w:fmt="decimal"/>
          <w:cols w:space="0" w:num="1"/>
          <w:docGrid w:type="lines" w:linePitch="319" w:charSpace="0"/>
        </w:sectPr>
      </w:pPr>
    </w:p>
    <w:p w14:paraId="73C30605">
      <w:pPr>
        <w:tabs>
          <w:tab w:val="left" w:pos="426"/>
        </w:tabs>
        <w:spacing w:line="360" w:lineRule="auto"/>
        <w:rPr>
          <w:rFonts w:hint="eastAsia" w:ascii="宋体" w:hAnsi="宋体" w:cs="宋体"/>
          <w:b/>
          <w:bCs/>
          <w:sz w:val="24"/>
        </w:rPr>
      </w:pPr>
      <w:r>
        <w:rPr>
          <w:rFonts w:hint="eastAsia" w:ascii="宋体" w:hAnsi="宋体" w:cs="宋体"/>
          <w:b/>
          <w:bCs/>
          <w:sz w:val="24"/>
        </w:rPr>
        <w:t>三、商务部分</w:t>
      </w:r>
    </w:p>
    <w:p w14:paraId="1BCAE302">
      <w:pPr>
        <w:tabs>
          <w:tab w:val="left" w:pos="142"/>
        </w:tabs>
        <w:spacing w:line="360" w:lineRule="auto"/>
        <w:ind w:firstLine="482" w:firstLineChars="200"/>
        <w:rPr>
          <w:rFonts w:hint="eastAsia" w:ascii="宋体" w:hAnsi="宋体" w:cs="宋体"/>
          <w:b/>
          <w:bCs/>
          <w:sz w:val="24"/>
        </w:rPr>
      </w:pPr>
      <w:r>
        <w:rPr>
          <w:rFonts w:hint="eastAsia" w:ascii="宋体" w:hAnsi="宋体" w:cs="宋体"/>
          <w:b/>
          <w:bCs/>
          <w:sz w:val="24"/>
        </w:rPr>
        <w:t>（一）包装、运输</w:t>
      </w:r>
    </w:p>
    <w:p w14:paraId="51737A80">
      <w:pPr>
        <w:tabs>
          <w:tab w:val="left" w:pos="142"/>
        </w:tabs>
        <w:spacing w:line="360" w:lineRule="auto"/>
        <w:ind w:firstLine="480" w:firstLineChars="200"/>
        <w:rPr>
          <w:rFonts w:hint="eastAsia" w:ascii="宋体" w:hAnsi="宋体" w:cs="宋体"/>
          <w:sz w:val="24"/>
        </w:rPr>
      </w:pPr>
      <w:r>
        <w:rPr>
          <w:rFonts w:hint="eastAsia" w:ascii="宋体" w:hAnsi="宋体" w:cs="宋体"/>
          <w:sz w:val="24"/>
        </w:rPr>
        <w:t>1</w:t>
      </w:r>
      <w:bookmarkStart w:id="113" w:name="_Hlk80037347"/>
      <w:r>
        <w:rPr>
          <w:rFonts w:hint="eastAsia" w:ascii="宋体" w:hAnsi="宋体" w:cs="宋体"/>
          <w:sz w:val="24"/>
        </w:rPr>
        <w:t>.供应商</w:t>
      </w:r>
      <w:bookmarkEnd w:id="113"/>
      <w:r>
        <w:rPr>
          <w:rFonts w:hint="eastAsia" w:ascii="宋体" w:hAnsi="宋体" w:cs="宋体"/>
          <w:sz w:val="24"/>
        </w:rPr>
        <w:t>所供货物必须为制造商原厂包装，包装质量符合国家相关标准。货物要求有包装材料保护运至现场，因包装不良造成的损失由成交供应商负责。</w:t>
      </w:r>
    </w:p>
    <w:p w14:paraId="562F51DF">
      <w:pPr>
        <w:tabs>
          <w:tab w:val="left" w:pos="142"/>
        </w:tabs>
        <w:spacing w:line="360" w:lineRule="auto"/>
        <w:ind w:firstLine="480" w:firstLineChars="200"/>
        <w:rPr>
          <w:rFonts w:hint="eastAsia" w:ascii="宋体" w:hAnsi="宋体" w:cs="宋体"/>
          <w:spacing w:val="-6"/>
          <w:sz w:val="24"/>
        </w:rPr>
      </w:pPr>
      <w:r>
        <w:rPr>
          <w:rFonts w:hint="eastAsia" w:ascii="宋体" w:hAnsi="宋体" w:cs="宋体"/>
          <w:sz w:val="24"/>
        </w:rPr>
        <w:t>2.</w:t>
      </w:r>
      <w:r>
        <w:rPr>
          <w:rFonts w:hint="eastAsia" w:ascii="宋体" w:hAnsi="宋体" w:cs="宋体"/>
          <w:spacing w:val="-6"/>
          <w:sz w:val="24"/>
        </w:rPr>
        <w:t>供应商负责将货物材料送到安装地点过程中的全部运输，包括装卸车、货物现场的搬运。</w:t>
      </w:r>
    </w:p>
    <w:p w14:paraId="7064BBE3">
      <w:pPr>
        <w:tabs>
          <w:tab w:val="left" w:pos="142"/>
        </w:tabs>
        <w:spacing w:line="360" w:lineRule="auto"/>
        <w:ind w:firstLine="482" w:firstLineChars="200"/>
        <w:rPr>
          <w:rFonts w:hint="eastAsia" w:ascii="宋体" w:hAnsi="宋体" w:cs="宋体"/>
          <w:b/>
          <w:bCs/>
          <w:sz w:val="24"/>
        </w:rPr>
      </w:pPr>
      <w:r>
        <w:rPr>
          <w:rFonts w:hint="eastAsia" w:ascii="宋体" w:hAnsi="宋体" w:cs="宋体"/>
          <w:b/>
          <w:bCs/>
          <w:sz w:val="24"/>
        </w:rPr>
        <w:t>（二）供货安装调试要求</w:t>
      </w:r>
    </w:p>
    <w:p w14:paraId="6388F889">
      <w:pPr>
        <w:tabs>
          <w:tab w:val="left" w:pos="142"/>
        </w:tabs>
        <w:spacing w:line="360" w:lineRule="auto"/>
        <w:ind w:firstLine="480" w:firstLineChars="200"/>
        <w:rPr>
          <w:rFonts w:hint="eastAsia" w:ascii="宋体" w:hAnsi="宋体" w:cs="宋体"/>
          <w:sz w:val="24"/>
        </w:rPr>
      </w:pPr>
      <w:r>
        <w:rPr>
          <w:rFonts w:hint="eastAsia" w:ascii="宋体" w:hAnsi="宋体" w:cs="宋体"/>
          <w:sz w:val="24"/>
        </w:rPr>
        <w:t>1.供应商负责到采购人指定的安装地点进行安装调试。</w:t>
      </w:r>
    </w:p>
    <w:p w14:paraId="18B39064">
      <w:pPr>
        <w:tabs>
          <w:tab w:val="left" w:pos="142"/>
        </w:tabs>
        <w:spacing w:line="360" w:lineRule="auto"/>
        <w:ind w:firstLine="480" w:firstLineChars="200"/>
        <w:rPr>
          <w:rFonts w:hint="eastAsia" w:ascii="宋体" w:hAnsi="宋体" w:cs="宋体"/>
          <w:sz w:val="24"/>
        </w:rPr>
      </w:pPr>
      <w:r>
        <w:rPr>
          <w:rFonts w:hint="eastAsia" w:ascii="宋体" w:hAnsi="宋体" w:cs="宋体"/>
          <w:sz w:val="24"/>
        </w:rPr>
        <w:t>2.供应商必须提供设备安装、集成及调测服务，并确保调试完成后，设备能够正常运行，达到采购人可正常使用状态。</w:t>
      </w:r>
    </w:p>
    <w:p w14:paraId="3BB70007">
      <w:pPr>
        <w:tabs>
          <w:tab w:val="left" w:pos="142"/>
        </w:tabs>
        <w:spacing w:line="360" w:lineRule="auto"/>
        <w:ind w:firstLine="480" w:firstLineChars="200"/>
        <w:rPr>
          <w:rFonts w:hint="eastAsia" w:ascii="宋体" w:hAnsi="宋体" w:cs="宋体"/>
          <w:sz w:val="24"/>
        </w:rPr>
      </w:pPr>
      <w:r>
        <w:rPr>
          <w:rFonts w:hint="eastAsia" w:ascii="宋体" w:hAnsi="宋体" w:cs="宋体"/>
          <w:sz w:val="24"/>
        </w:rPr>
        <w:t>3.安装设备主机时，若零地电压未达设备安装要求，需供应商解决。</w:t>
      </w:r>
    </w:p>
    <w:p w14:paraId="7688F31E">
      <w:pPr>
        <w:tabs>
          <w:tab w:val="left" w:pos="142"/>
        </w:tabs>
        <w:spacing w:line="360" w:lineRule="auto"/>
        <w:ind w:firstLine="482" w:firstLineChars="200"/>
        <w:rPr>
          <w:rFonts w:hint="eastAsia" w:ascii="宋体" w:hAnsi="宋体" w:cs="宋体"/>
          <w:b/>
          <w:bCs/>
          <w:sz w:val="24"/>
        </w:rPr>
      </w:pPr>
      <w:r>
        <w:rPr>
          <w:rFonts w:hint="eastAsia" w:ascii="宋体" w:hAnsi="宋体" w:cs="宋体"/>
          <w:b/>
          <w:bCs/>
          <w:sz w:val="24"/>
        </w:rPr>
        <w:t>（三）验收</w:t>
      </w:r>
    </w:p>
    <w:p w14:paraId="7EE3B949">
      <w:pPr>
        <w:tabs>
          <w:tab w:val="left" w:pos="142"/>
        </w:tabs>
        <w:spacing w:line="360" w:lineRule="auto"/>
        <w:ind w:firstLine="480" w:firstLineChars="200"/>
        <w:rPr>
          <w:rFonts w:hint="eastAsia" w:ascii="宋体" w:hAnsi="宋体" w:cs="宋体"/>
          <w:sz w:val="24"/>
        </w:rPr>
      </w:pPr>
      <w:r>
        <w:rPr>
          <w:rFonts w:hint="eastAsia" w:ascii="宋体" w:hAnsi="宋体" w:cs="宋体"/>
          <w:sz w:val="24"/>
        </w:rPr>
        <w:t>1.货物为原制造商制造的全新产品，在中国境内可依规安全合法使用。</w:t>
      </w:r>
    </w:p>
    <w:p w14:paraId="01481B3C">
      <w:pPr>
        <w:tabs>
          <w:tab w:val="left" w:pos="142"/>
        </w:tabs>
        <w:spacing w:line="360" w:lineRule="auto"/>
        <w:ind w:firstLine="480" w:firstLineChars="200"/>
        <w:rPr>
          <w:rFonts w:hint="eastAsia" w:ascii="宋体" w:hAnsi="宋体" w:cs="宋体"/>
          <w:sz w:val="24"/>
        </w:rPr>
      </w:pPr>
      <w:r>
        <w:rPr>
          <w:rFonts w:hint="eastAsia" w:ascii="宋体" w:hAnsi="宋体" w:cs="宋体"/>
          <w:sz w:val="24"/>
        </w:rPr>
        <w:t>2.软件升级：产品使用年限内免费为买方提供设备所配软件升级。</w:t>
      </w:r>
    </w:p>
    <w:p w14:paraId="46498E0F">
      <w:pPr>
        <w:tabs>
          <w:tab w:val="left" w:pos="142"/>
        </w:tabs>
        <w:spacing w:line="360" w:lineRule="auto"/>
        <w:ind w:firstLine="480" w:firstLineChars="200"/>
        <w:rPr>
          <w:rFonts w:hint="eastAsia" w:ascii="宋体" w:hAnsi="宋体" w:cs="宋体"/>
          <w:sz w:val="24"/>
        </w:rPr>
      </w:pPr>
      <w:r>
        <w:rPr>
          <w:rFonts w:hint="eastAsia" w:ascii="宋体" w:hAnsi="宋体" w:cs="宋体"/>
          <w:sz w:val="24"/>
        </w:rPr>
        <w:t>3.交付验收标准</w:t>
      </w:r>
    </w:p>
    <w:p w14:paraId="0EDBB74F">
      <w:pPr>
        <w:tabs>
          <w:tab w:val="left" w:pos="142"/>
        </w:tabs>
        <w:spacing w:line="360" w:lineRule="auto"/>
        <w:ind w:firstLine="480" w:firstLineChars="200"/>
        <w:rPr>
          <w:rFonts w:hint="eastAsia" w:ascii="宋体" w:hAnsi="宋体" w:cs="宋体"/>
          <w:sz w:val="24"/>
        </w:rPr>
      </w:pPr>
      <w:r>
        <w:rPr>
          <w:rFonts w:hint="eastAsia" w:ascii="宋体" w:hAnsi="宋体" w:cs="宋体"/>
          <w:sz w:val="24"/>
        </w:rPr>
        <w:t>依次序对照适用标准为：①符合中华人民共和国国家安全质量标准、环保标准或行业标准；②符合采购文件和响应承诺中采购人认可的合理最佳配置、参数及各项要求；③货物来源为官方标准。上述标准必须是有关官方机构发布的最新版本的标准。④由仪器制造商授权的技术人员现场安装调试合格后，采购人使用方可签字验收。</w:t>
      </w:r>
    </w:p>
    <w:p w14:paraId="1E14192F">
      <w:pPr>
        <w:tabs>
          <w:tab w:val="left" w:pos="142"/>
        </w:tabs>
        <w:spacing w:line="360" w:lineRule="auto"/>
        <w:ind w:firstLine="480" w:firstLineChars="200"/>
        <w:rPr>
          <w:rFonts w:hint="eastAsia" w:ascii="宋体" w:hAnsi="宋体" w:cs="宋体"/>
          <w:sz w:val="24"/>
        </w:rPr>
      </w:pPr>
      <w:r>
        <w:rPr>
          <w:rFonts w:hint="eastAsia" w:ascii="宋体" w:hAnsi="宋体" w:cs="宋体"/>
          <w:sz w:val="24"/>
        </w:rPr>
        <w:t>4.技术资料</w:t>
      </w:r>
    </w:p>
    <w:p w14:paraId="0416DE7E">
      <w:pPr>
        <w:tabs>
          <w:tab w:val="left" w:pos="142"/>
        </w:tabs>
        <w:spacing w:line="360" w:lineRule="auto"/>
        <w:ind w:firstLine="480" w:firstLineChars="200"/>
        <w:rPr>
          <w:rFonts w:hint="eastAsia" w:ascii="宋体" w:hAnsi="宋体" w:cs="宋体"/>
          <w:sz w:val="24"/>
        </w:rPr>
      </w:pPr>
      <w:r>
        <w:rPr>
          <w:rFonts w:hint="eastAsia" w:ascii="宋体" w:hAnsi="宋体" w:cs="宋体"/>
          <w:sz w:val="24"/>
        </w:rPr>
        <w:t>交货时，中标供应商应同时交付仪器装箱清单、质量合格证明文件、保修卡、使用说明和维护手册等技术文件齐全。</w:t>
      </w:r>
    </w:p>
    <w:p w14:paraId="7C624702">
      <w:pPr>
        <w:tabs>
          <w:tab w:val="left" w:pos="142"/>
        </w:tabs>
        <w:spacing w:line="360" w:lineRule="auto"/>
        <w:ind w:firstLine="482" w:firstLineChars="200"/>
        <w:rPr>
          <w:rFonts w:hint="eastAsia" w:ascii="宋体" w:hAnsi="宋体" w:cs="宋体"/>
          <w:b/>
          <w:bCs/>
          <w:sz w:val="24"/>
        </w:rPr>
      </w:pPr>
      <w:r>
        <w:rPr>
          <w:rFonts w:hint="eastAsia" w:ascii="宋体" w:hAnsi="宋体" w:cs="宋体"/>
          <w:b/>
          <w:bCs/>
          <w:sz w:val="24"/>
        </w:rPr>
        <w:t>（四）培训</w:t>
      </w:r>
    </w:p>
    <w:p w14:paraId="614B239E">
      <w:pPr>
        <w:tabs>
          <w:tab w:val="left" w:pos="142"/>
        </w:tabs>
        <w:spacing w:line="360" w:lineRule="auto"/>
        <w:ind w:firstLine="480" w:firstLineChars="200"/>
        <w:rPr>
          <w:rFonts w:hint="eastAsia" w:ascii="宋体" w:hAnsi="宋体" w:cs="宋体"/>
          <w:sz w:val="24"/>
        </w:rPr>
      </w:pPr>
      <w:r>
        <w:rPr>
          <w:rFonts w:hint="eastAsia" w:ascii="宋体" w:hAnsi="宋体" w:cs="宋体"/>
          <w:sz w:val="24"/>
        </w:rPr>
        <w:t>1.供应商须根据采购人的要求安排熟悉本项目的专业技术人员在采购人指定的地点向采购人提供完备、全面的产品使用培训，培训内容包括设备参数的设置、操作、维护保养、应急处理、简单故障排除等，确保采购人能够对设备、系统有足够的了解，能够独立进行日常操作、管理和维护。</w:t>
      </w:r>
    </w:p>
    <w:p w14:paraId="1AA24309">
      <w:pPr>
        <w:tabs>
          <w:tab w:val="left" w:pos="142"/>
        </w:tabs>
        <w:spacing w:line="360" w:lineRule="auto"/>
        <w:ind w:firstLine="480" w:firstLineChars="200"/>
        <w:rPr>
          <w:rFonts w:hint="eastAsia" w:ascii="宋体" w:hAnsi="宋体" w:cs="宋体"/>
          <w:sz w:val="24"/>
        </w:rPr>
      </w:pPr>
      <w:r>
        <w:rPr>
          <w:rFonts w:hint="eastAsia" w:ascii="宋体" w:hAnsi="宋体" w:cs="宋体"/>
          <w:sz w:val="24"/>
        </w:rPr>
        <w:t>2.所有的培训费用由成交供应商负责，均计入投标报价中。</w:t>
      </w:r>
    </w:p>
    <w:p w14:paraId="5DF2738E">
      <w:pPr>
        <w:tabs>
          <w:tab w:val="left" w:pos="142"/>
        </w:tabs>
        <w:spacing w:line="360" w:lineRule="auto"/>
        <w:ind w:firstLine="482" w:firstLineChars="200"/>
        <w:rPr>
          <w:rFonts w:hint="eastAsia" w:ascii="宋体" w:hAnsi="宋体" w:cs="宋体"/>
          <w:b/>
          <w:bCs/>
          <w:sz w:val="24"/>
        </w:rPr>
      </w:pPr>
      <w:bookmarkStart w:id="114" w:name="_Toc499039833"/>
      <w:bookmarkStart w:id="115" w:name="_Toc3245"/>
      <w:bookmarkStart w:id="116" w:name="_Toc488324326"/>
      <w:r>
        <w:rPr>
          <w:rFonts w:hint="eastAsia" w:ascii="宋体" w:hAnsi="宋体" w:cs="宋体"/>
          <w:b/>
          <w:bCs/>
          <w:sz w:val="24"/>
        </w:rPr>
        <w:t>（五）质量保证及售后服务</w:t>
      </w:r>
      <w:bookmarkEnd w:id="114"/>
      <w:bookmarkEnd w:id="115"/>
      <w:bookmarkEnd w:id="116"/>
    </w:p>
    <w:p w14:paraId="3947ECC6">
      <w:pPr>
        <w:tabs>
          <w:tab w:val="left" w:pos="142"/>
        </w:tabs>
        <w:spacing w:line="360" w:lineRule="auto"/>
        <w:ind w:firstLine="480" w:firstLineChars="200"/>
        <w:rPr>
          <w:rFonts w:hint="eastAsia" w:ascii="宋体" w:hAnsi="宋体" w:cs="宋体"/>
          <w:b/>
          <w:bCs/>
          <w:sz w:val="24"/>
          <w:highlight w:val="yellow"/>
        </w:rPr>
      </w:pPr>
      <w:r>
        <w:rPr>
          <w:rFonts w:hint="eastAsia" w:ascii="宋体" w:hAnsi="宋体" w:cs="宋体"/>
          <w:sz w:val="24"/>
        </w:rPr>
        <w:t>★</w:t>
      </w:r>
      <w:r>
        <w:rPr>
          <w:rFonts w:hint="eastAsia" w:ascii="宋体" w:hAnsi="宋体" w:cs="宋体"/>
          <w:b/>
          <w:bCs/>
          <w:sz w:val="24"/>
        </w:rPr>
        <w:t>1.设备质保期：整机质保期≥2年。在质保期内，供应商必须提供仪器制造商的故障检查、维修及维护等服务，所有服务及更换部件（耗材除外）全部免费。仪器制造商对仪器提供终身维修维护支持，软件免费升级，并以优惠价提供配件耗材（提供承诺书）</w:t>
      </w:r>
      <w:r>
        <w:rPr>
          <w:rFonts w:hint="eastAsia" w:ascii="宋体" w:hAnsi="宋体" w:cs="宋体"/>
          <w:b/>
          <w:bCs/>
          <w:spacing w:val="8"/>
          <w:sz w:val="24"/>
          <w:shd w:val="clear" w:color="auto" w:fill="FFFFFF"/>
        </w:rPr>
        <w:t>。</w:t>
      </w:r>
    </w:p>
    <w:p w14:paraId="175327C5">
      <w:pPr>
        <w:tabs>
          <w:tab w:val="left" w:pos="142"/>
        </w:tabs>
        <w:spacing w:line="360" w:lineRule="auto"/>
        <w:ind w:firstLine="480" w:firstLineChars="200"/>
        <w:rPr>
          <w:rFonts w:hint="eastAsia" w:ascii="宋体" w:hAnsi="宋体" w:cs="宋体"/>
          <w:sz w:val="24"/>
        </w:rPr>
      </w:pPr>
      <w:r>
        <w:rPr>
          <w:rFonts w:hint="eastAsia" w:ascii="宋体" w:hAnsi="宋体" w:cs="宋体"/>
          <w:sz w:val="24"/>
        </w:rPr>
        <w:t>2.质量保证期内，在非人为因素情况下，一切维修换件保养费用和备品备件均由成交供应商免费提供。</w:t>
      </w:r>
    </w:p>
    <w:p w14:paraId="6C29811D">
      <w:pPr>
        <w:tabs>
          <w:tab w:val="left" w:pos="142"/>
        </w:tabs>
        <w:spacing w:line="360" w:lineRule="auto"/>
        <w:ind w:firstLine="480" w:firstLineChars="200"/>
        <w:rPr>
          <w:rFonts w:hint="eastAsia" w:ascii="宋体" w:hAnsi="宋体" w:cs="宋体"/>
          <w:sz w:val="24"/>
        </w:rPr>
      </w:pPr>
      <w:r>
        <w:rPr>
          <w:rFonts w:hint="eastAsia" w:ascii="宋体" w:hAnsi="宋体" w:cs="宋体"/>
          <w:sz w:val="24"/>
        </w:rPr>
        <w:t>3.售后服务要求</w:t>
      </w:r>
    </w:p>
    <w:p w14:paraId="0F4B197E">
      <w:pPr>
        <w:tabs>
          <w:tab w:val="left" w:pos="142"/>
        </w:tabs>
        <w:spacing w:line="360" w:lineRule="auto"/>
        <w:ind w:firstLine="480" w:firstLineChars="200"/>
        <w:rPr>
          <w:rFonts w:hint="eastAsia" w:ascii="宋体" w:hAnsi="宋体" w:cs="宋体"/>
          <w:sz w:val="24"/>
        </w:rPr>
      </w:pPr>
      <w:r>
        <w:rPr>
          <w:rFonts w:hint="eastAsia" w:ascii="宋体" w:hAnsi="宋体" w:cs="宋体"/>
          <w:sz w:val="24"/>
        </w:rPr>
        <w:t>3.1维修响应时间：维修响应时间≤2小时，24小时内排除故障，每年不少于4次技术支持。</w:t>
      </w:r>
    </w:p>
    <w:p w14:paraId="4F1DB63D">
      <w:pPr>
        <w:tabs>
          <w:tab w:val="left" w:pos="142"/>
        </w:tabs>
        <w:spacing w:line="360" w:lineRule="auto"/>
        <w:ind w:firstLine="480" w:firstLineChars="200"/>
        <w:rPr>
          <w:rFonts w:hint="eastAsia" w:ascii="宋体" w:hAnsi="宋体" w:cs="宋体"/>
          <w:sz w:val="24"/>
        </w:rPr>
      </w:pPr>
      <w:r>
        <w:rPr>
          <w:rFonts w:hint="eastAsia" w:ascii="宋体" w:hAnsi="宋体" w:cs="宋体"/>
          <w:sz w:val="24"/>
        </w:rPr>
        <w:t>3.2仪器制造商工程师在仪器安装、调试完成后对操作人员进行仪器基本操作和维护的免费培训，保证相关人员能独立上机进行基本操作和数据处理。如因人员变动，需要进行再次培训，应满足对采购人新增实验人员进行免费培训。</w:t>
      </w:r>
    </w:p>
    <w:p w14:paraId="41E5163B">
      <w:pPr>
        <w:tabs>
          <w:tab w:val="left" w:pos="142"/>
        </w:tabs>
        <w:spacing w:line="360" w:lineRule="auto"/>
        <w:ind w:firstLine="480" w:firstLineChars="200"/>
        <w:rPr>
          <w:rFonts w:hint="eastAsia" w:ascii="宋体" w:hAnsi="宋体" w:cs="宋体"/>
          <w:sz w:val="24"/>
        </w:rPr>
      </w:pPr>
      <w:r>
        <w:rPr>
          <w:rFonts w:hint="eastAsia" w:ascii="宋体" w:hAnsi="宋体" w:cs="宋体"/>
          <w:sz w:val="24"/>
        </w:rPr>
        <w:t>3.3供应商承担产品的运输、安装、培训的费用。</w:t>
      </w:r>
    </w:p>
    <w:p w14:paraId="0C92A7A2">
      <w:pPr>
        <w:tabs>
          <w:tab w:val="left" w:pos="142"/>
        </w:tabs>
        <w:spacing w:line="360" w:lineRule="auto"/>
        <w:ind w:firstLine="482" w:firstLineChars="200"/>
        <w:rPr>
          <w:rFonts w:hint="eastAsia" w:ascii="宋体" w:hAnsi="宋体" w:cs="宋体"/>
          <w:b/>
          <w:bCs/>
          <w:sz w:val="24"/>
        </w:rPr>
      </w:pPr>
      <w:r>
        <w:rPr>
          <w:rFonts w:hint="eastAsia" w:ascii="宋体" w:hAnsi="宋体" w:cs="宋体"/>
          <w:b/>
          <w:bCs/>
          <w:sz w:val="24"/>
        </w:rPr>
        <w:t>（六）针对本项目特别约定</w:t>
      </w:r>
    </w:p>
    <w:p w14:paraId="7135AF4A">
      <w:pPr>
        <w:tabs>
          <w:tab w:val="left" w:pos="142"/>
        </w:tabs>
        <w:spacing w:line="360" w:lineRule="auto"/>
        <w:ind w:firstLine="482" w:firstLineChars="200"/>
        <w:rPr>
          <w:rFonts w:hint="eastAsia" w:ascii="宋体" w:hAnsi="宋体" w:cs="宋体"/>
          <w:b/>
          <w:bCs/>
          <w:sz w:val="24"/>
        </w:rPr>
      </w:pPr>
      <w:r>
        <w:rPr>
          <w:rFonts w:hint="eastAsia" w:ascii="宋体" w:hAnsi="宋体" w:cs="宋体"/>
          <w:b/>
          <w:bCs/>
          <w:sz w:val="24"/>
        </w:rPr>
        <w:t>1、项目中设备涉及到连接实验室管理系统的，供应商有义务协助采购人完成连接。并所提供的设备具备防篡改功能。</w:t>
      </w:r>
    </w:p>
    <w:p w14:paraId="3392A7FD">
      <w:pPr>
        <w:tabs>
          <w:tab w:val="left" w:pos="142"/>
        </w:tabs>
        <w:spacing w:line="360" w:lineRule="auto"/>
        <w:ind w:firstLine="482" w:firstLineChars="200"/>
        <w:rPr>
          <w:rFonts w:hint="eastAsia" w:ascii="宋体" w:hAnsi="宋体" w:cs="宋体"/>
          <w:b/>
          <w:bCs/>
          <w:sz w:val="24"/>
        </w:rPr>
      </w:pPr>
      <w:r>
        <w:rPr>
          <w:rFonts w:hint="eastAsia" w:ascii="宋体" w:hAnsi="宋体" w:cs="宋体"/>
          <w:b/>
          <w:bCs/>
          <w:sz w:val="24"/>
        </w:rPr>
        <w:t>2、项目中但凡涉及需要检定仪器需由中标供货商委托检定，检定费用由中标供应商承担；</w:t>
      </w:r>
    </w:p>
    <w:p w14:paraId="1C43635D">
      <w:pPr>
        <w:tabs>
          <w:tab w:val="left" w:pos="142"/>
        </w:tabs>
        <w:spacing w:line="360" w:lineRule="auto"/>
        <w:ind w:firstLine="482" w:firstLineChars="200"/>
        <w:jc w:val="left"/>
        <w:rPr>
          <w:rFonts w:hint="eastAsia" w:ascii="宋体" w:hAnsi="宋体" w:cs="宋体"/>
          <w:b/>
          <w:bCs/>
          <w:sz w:val="24"/>
        </w:rPr>
      </w:pPr>
      <w:r>
        <w:rPr>
          <w:rFonts w:hint="eastAsia" w:ascii="宋体" w:hAnsi="宋体" w:cs="宋体"/>
          <w:b/>
          <w:bCs/>
          <w:sz w:val="24"/>
        </w:rPr>
        <w:t>3、招标文件中标注“▲”与“■”的内容为本项目评分项，供应商须依据其投标设备的实际性能如实填写，并按照评分办法的规定提供相应证明材料。</w:t>
      </w:r>
    </w:p>
    <w:p w14:paraId="6047A114">
      <w:pPr>
        <w:tabs>
          <w:tab w:val="left" w:pos="142"/>
        </w:tabs>
        <w:spacing w:line="360" w:lineRule="auto"/>
        <w:ind w:firstLine="482" w:firstLineChars="200"/>
        <w:jc w:val="left"/>
      </w:pPr>
      <w:r>
        <w:rPr>
          <w:rFonts w:hint="eastAsia" w:ascii="宋体" w:hAnsi="宋体" w:cs="宋体"/>
          <w:b/>
          <w:bCs/>
          <w:sz w:val="24"/>
        </w:rPr>
        <w:t>4、未标注“▲”和“■”的内容不纳入本项目评分范围，供应商可根据自身投标设备性能，如实填写“技术参数响应偏离表”（逐条响应）；若未填写或未如实填写，后期交货将按照招标文件要求的参数进行验收，由此导致合同无法签订或验收不合格的责任由中标供应商自行承担。</w:t>
      </w:r>
    </w:p>
    <w:p w14:paraId="36FB623E">
      <w:pPr>
        <w:tabs>
          <w:tab w:val="left" w:pos="142"/>
        </w:tabs>
        <w:spacing w:line="360" w:lineRule="auto"/>
        <w:ind w:firstLine="482" w:firstLineChars="200"/>
        <w:jc w:val="left"/>
        <w:rPr>
          <w:rFonts w:ascii="宋体" w:hAnsi="宋体" w:cs="宋体"/>
          <w:b/>
          <w:bCs/>
          <w:sz w:val="24"/>
        </w:rPr>
      </w:pPr>
      <w:r>
        <w:rPr>
          <w:rFonts w:hint="eastAsia" w:ascii="宋体" w:hAnsi="宋体" w:cs="宋体"/>
          <w:b/>
          <w:bCs/>
          <w:sz w:val="24"/>
        </w:rPr>
        <w:t>4、凡涉及设备配套耗材及备件数量、合理配件需求、配套数据处理系统、工作站及打印设备需求的，中标供应商必须按照招标文件规定的性能和数量进行交货。</w:t>
      </w:r>
    </w:p>
    <w:p w14:paraId="4CB6E3E3">
      <w:pPr>
        <w:tabs>
          <w:tab w:val="left" w:pos="142"/>
        </w:tabs>
        <w:spacing w:line="360" w:lineRule="auto"/>
        <w:ind w:firstLine="480" w:firstLineChars="200"/>
        <w:jc w:val="left"/>
        <w:rPr>
          <w:rFonts w:hint="eastAsia"/>
        </w:rPr>
      </w:pPr>
      <w:r>
        <w:rPr>
          <w:rFonts w:hint="eastAsia" w:ascii="宋体" w:hAnsi="宋体" w:cs="宋体"/>
          <w:sz w:val="24"/>
        </w:rPr>
        <w:t>★</w:t>
      </w:r>
      <w:r>
        <w:rPr>
          <w:rFonts w:hint="eastAsia" w:ascii="宋体" w:hAnsi="宋体" w:cs="宋体"/>
          <w:b/>
          <w:bCs/>
          <w:sz w:val="24"/>
        </w:rPr>
        <w:t>5、供应商须承诺在中标后提供由生产厂家出具的售后服务质量承诺书（提供承诺书）。</w:t>
      </w:r>
    </w:p>
    <w:p w14:paraId="64F4C687">
      <w:pPr>
        <w:pStyle w:val="3"/>
        <w:jc w:val="center"/>
        <w:rPr>
          <w:rFonts w:hint="eastAsia" w:ascii="宋体" w:hAnsi="宋体" w:eastAsia="宋体" w:cs="宋体"/>
        </w:rPr>
        <w:sectPr>
          <w:pgSz w:w="11906" w:h="16838"/>
          <w:pgMar w:top="1440" w:right="1803" w:bottom="1440" w:left="1803" w:header="851" w:footer="992" w:gutter="0"/>
          <w:pgNumType w:fmt="decimal"/>
          <w:cols w:space="0" w:num="1"/>
          <w:docGrid w:type="lines" w:linePitch="319" w:charSpace="0"/>
        </w:sectPr>
      </w:pPr>
      <w:bookmarkStart w:id="117" w:name="_Toc32373"/>
    </w:p>
    <w:p w14:paraId="1D71195D">
      <w:pPr>
        <w:pStyle w:val="3"/>
        <w:jc w:val="center"/>
        <w:rPr>
          <w:rFonts w:hint="eastAsia" w:ascii="宋体" w:hAnsi="宋体" w:eastAsia="宋体" w:cs="宋体"/>
        </w:rPr>
      </w:pPr>
      <w:bookmarkStart w:id="118" w:name="_Toc5402"/>
      <w:r>
        <w:rPr>
          <w:rFonts w:hint="eastAsia" w:ascii="宋体" w:hAnsi="宋体" w:eastAsia="宋体" w:cs="宋体"/>
        </w:rPr>
        <w:t>第五章 评标方法（综合评分法）</w:t>
      </w:r>
      <w:bookmarkEnd w:id="106"/>
      <w:bookmarkEnd w:id="117"/>
      <w:bookmarkEnd w:id="118"/>
    </w:p>
    <w:p w14:paraId="16E6C2FA">
      <w:pPr>
        <w:spacing w:line="360" w:lineRule="auto"/>
        <w:jc w:val="center"/>
        <w:rPr>
          <w:rFonts w:hint="eastAsia" w:ascii="宋体" w:hAnsi="宋体" w:cs="宋体"/>
          <w:b/>
          <w:bCs/>
          <w:sz w:val="28"/>
          <w:szCs w:val="28"/>
        </w:rPr>
      </w:pPr>
      <w:bookmarkStart w:id="119" w:name="_Toc389296549"/>
      <w:bookmarkStart w:id="120" w:name="_Toc3541"/>
      <w:bookmarkStart w:id="121" w:name="_Toc451172722"/>
      <w:bookmarkStart w:id="122" w:name="_Toc19917"/>
      <w:bookmarkStart w:id="123" w:name="_Toc27893"/>
      <w:bookmarkStart w:id="124" w:name="_Toc20965"/>
      <w:bookmarkStart w:id="125" w:name="_Toc11759"/>
      <w:r>
        <w:rPr>
          <w:rFonts w:hint="eastAsia" w:ascii="宋体" w:hAnsi="宋体" w:cs="宋体"/>
          <w:b/>
          <w:bCs/>
          <w:sz w:val="28"/>
          <w:szCs w:val="28"/>
        </w:rPr>
        <w:t>评标方法前附表</w:t>
      </w:r>
      <w:bookmarkEnd w:id="119"/>
      <w:bookmarkEnd w:id="120"/>
      <w:bookmarkEnd w:id="121"/>
      <w:bookmarkEnd w:id="122"/>
      <w:bookmarkEnd w:id="123"/>
      <w:bookmarkEnd w:id="124"/>
      <w:bookmarkEnd w:id="125"/>
    </w:p>
    <w:tbl>
      <w:tblPr>
        <w:tblStyle w:val="23"/>
        <w:tblW w:w="9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800"/>
        <w:gridCol w:w="482"/>
        <w:gridCol w:w="1872"/>
        <w:gridCol w:w="3196"/>
        <w:gridCol w:w="2338"/>
      </w:tblGrid>
      <w:tr w14:paraId="4C8C0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752" w:type="dxa"/>
            <w:gridSpan w:val="2"/>
            <w:vAlign w:val="center"/>
          </w:tcPr>
          <w:p w14:paraId="2DD2C185">
            <w:pPr>
              <w:spacing w:line="360" w:lineRule="auto"/>
              <w:jc w:val="center"/>
              <w:rPr>
                <w:rFonts w:hint="eastAsia" w:ascii="宋体" w:hAnsi="宋体" w:cs="宋体"/>
                <w:b/>
                <w:bCs/>
                <w:sz w:val="24"/>
              </w:rPr>
            </w:pPr>
            <w:r>
              <w:rPr>
                <w:rFonts w:hint="eastAsia" w:ascii="宋体" w:hAnsi="宋体" w:cs="宋体"/>
                <w:b/>
                <w:bCs/>
                <w:sz w:val="24"/>
              </w:rPr>
              <w:t>条款号</w:t>
            </w:r>
          </w:p>
        </w:tc>
        <w:tc>
          <w:tcPr>
            <w:tcW w:w="5550" w:type="dxa"/>
            <w:gridSpan w:val="3"/>
            <w:vAlign w:val="center"/>
          </w:tcPr>
          <w:p w14:paraId="0956D6D9">
            <w:pPr>
              <w:spacing w:line="360" w:lineRule="auto"/>
              <w:jc w:val="center"/>
              <w:rPr>
                <w:rFonts w:hint="eastAsia" w:ascii="宋体" w:hAnsi="宋体" w:cs="宋体"/>
                <w:b/>
                <w:bCs/>
                <w:sz w:val="24"/>
              </w:rPr>
            </w:pPr>
            <w:r>
              <w:rPr>
                <w:rFonts w:hint="eastAsia" w:ascii="宋体" w:hAnsi="宋体" w:cs="宋体"/>
                <w:b/>
                <w:bCs/>
                <w:sz w:val="24"/>
              </w:rPr>
              <w:t>审 查 内 容</w:t>
            </w:r>
          </w:p>
        </w:tc>
        <w:tc>
          <w:tcPr>
            <w:tcW w:w="2338" w:type="dxa"/>
            <w:vAlign w:val="center"/>
          </w:tcPr>
          <w:p w14:paraId="637CF9E7">
            <w:pPr>
              <w:spacing w:line="360" w:lineRule="auto"/>
              <w:jc w:val="center"/>
              <w:rPr>
                <w:rFonts w:hint="eastAsia" w:ascii="宋体" w:hAnsi="宋体" w:cs="宋体"/>
                <w:b/>
                <w:bCs/>
                <w:sz w:val="24"/>
              </w:rPr>
            </w:pPr>
            <w:r>
              <w:rPr>
                <w:rFonts w:hint="eastAsia" w:ascii="宋体" w:hAnsi="宋体" w:cs="宋体"/>
                <w:b/>
                <w:bCs/>
                <w:sz w:val="24"/>
              </w:rPr>
              <w:t>审 查 标 准</w:t>
            </w:r>
          </w:p>
        </w:tc>
      </w:tr>
      <w:tr w14:paraId="6A164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952" w:type="dxa"/>
            <w:vMerge w:val="restart"/>
            <w:vAlign w:val="center"/>
          </w:tcPr>
          <w:p w14:paraId="31EF1EA7">
            <w:pPr>
              <w:spacing w:line="360" w:lineRule="auto"/>
              <w:jc w:val="center"/>
              <w:rPr>
                <w:rFonts w:hint="eastAsia" w:ascii="宋体" w:hAnsi="宋体" w:cs="宋体"/>
                <w:sz w:val="24"/>
              </w:rPr>
            </w:pPr>
            <w:r>
              <w:rPr>
                <w:rFonts w:hint="eastAsia" w:ascii="宋体" w:hAnsi="宋体" w:cs="宋体"/>
                <w:sz w:val="24"/>
              </w:rPr>
              <w:t>一</w:t>
            </w:r>
          </w:p>
        </w:tc>
        <w:tc>
          <w:tcPr>
            <w:tcW w:w="800" w:type="dxa"/>
            <w:vMerge w:val="restart"/>
            <w:vAlign w:val="center"/>
          </w:tcPr>
          <w:p w14:paraId="3D77CCE0">
            <w:pPr>
              <w:spacing w:line="360" w:lineRule="auto"/>
              <w:jc w:val="center"/>
              <w:rPr>
                <w:rFonts w:hint="eastAsia" w:ascii="宋体" w:hAnsi="宋体" w:cs="宋体"/>
                <w:sz w:val="24"/>
              </w:rPr>
            </w:pPr>
            <w:r>
              <w:rPr>
                <w:rFonts w:hint="eastAsia" w:ascii="宋体" w:hAnsi="宋体" w:cs="宋体"/>
                <w:sz w:val="24"/>
              </w:rPr>
              <w:t>资格审查</w:t>
            </w:r>
          </w:p>
        </w:tc>
        <w:tc>
          <w:tcPr>
            <w:tcW w:w="5550" w:type="dxa"/>
            <w:gridSpan w:val="3"/>
            <w:vAlign w:val="center"/>
          </w:tcPr>
          <w:p w14:paraId="37FB8FE8">
            <w:pPr>
              <w:spacing w:line="360" w:lineRule="auto"/>
              <w:rPr>
                <w:rFonts w:hint="eastAsia" w:ascii="宋体" w:hAnsi="宋体" w:cs="宋体"/>
                <w:sz w:val="24"/>
              </w:rPr>
            </w:pPr>
            <w:r>
              <w:rPr>
                <w:rFonts w:hint="eastAsia" w:ascii="宋体" w:hAnsi="宋体" w:cs="宋体"/>
                <w:sz w:val="24"/>
              </w:rPr>
              <w:t>投标人自行承诺符合《中华人民共和国政府采购法》第二十二条规定及《中华人民共和国政府采购法实施条例》第十七条的相关要求。</w:t>
            </w:r>
          </w:p>
        </w:tc>
        <w:tc>
          <w:tcPr>
            <w:tcW w:w="2338" w:type="dxa"/>
            <w:vAlign w:val="center"/>
          </w:tcPr>
          <w:p w14:paraId="48CC8BA6">
            <w:pPr>
              <w:spacing w:line="360" w:lineRule="auto"/>
              <w:jc w:val="center"/>
              <w:rPr>
                <w:rFonts w:hint="eastAsia" w:ascii="宋体" w:hAnsi="宋体" w:cs="宋体"/>
                <w:sz w:val="24"/>
              </w:rPr>
            </w:pPr>
            <w:r>
              <w:rPr>
                <w:rFonts w:hint="eastAsia" w:ascii="宋体" w:hAnsi="宋体" w:cs="宋体"/>
                <w:b/>
                <w:sz w:val="24"/>
              </w:rPr>
              <w:t>审查投标文件中的声明/承诺函</w:t>
            </w:r>
          </w:p>
        </w:tc>
      </w:tr>
      <w:tr w14:paraId="6C2D0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952" w:type="dxa"/>
            <w:vMerge w:val="continue"/>
            <w:vAlign w:val="center"/>
          </w:tcPr>
          <w:p w14:paraId="74A32F31">
            <w:pPr>
              <w:spacing w:line="360" w:lineRule="auto"/>
              <w:jc w:val="center"/>
              <w:rPr>
                <w:rFonts w:hint="eastAsia" w:ascii="宋体" w:hAnsi="宋体" w:cs="宋体"/>
                <w:sz w:val="24"/>
              </w:rPr>
            </w:pPr>
          </w:p>
        </w:tc>
        <w:tc>
          <w:tcPr>
            <w:tcW w:w="800" w:type="dxa"/>
            <w:vMerge w:val="continue"/>
            <w:vAlign w:val="center"/>
          </w:tcPr>
          <w:p w14:paraId="33566A68">
            <w:pPr>
              <w:spacing w:line="360" w:lineRule="auto"/>
              <w:jc w:val="center"/>
              <w:rPr>
                <w:rFonts w:hint="eastAsia" w:ascii="宋体" w:hAnsi="宋体" w:cs="宋体"/>
                <w:sz w:val="24"/>
              </w:rPr>
            </w:pPr>
          </w:p>
        </w:tc>
        <w:tc>
          <w:tcPr>
            <w:tcW w:w="5550" w:type="dxa"/>
            <w:gridSpan w:val="3"/>
            <w:vAlign w:val="center"/>
          </w:tcPr>
          <w:p w14:paraId="153CD826">
            <w:pPr>
              <w:spacing w:line="360" w:lineRule="auto"/>
              <w:jc w:val="left"/>
              <w:rPr>
                <w:rFonts w:hint="eastAsia" w:ascii="宋体" w:hAnsi="宋体" w:cs="宋体"/>
                <w:sz w:val="24"/>
              </w:rPr>
            </w:pPr>
            <w:r>
              <w:rPr>
                <w:rFonts w:hint="eastAsia" w:ascii="宋体" w:hAnsi="宋体" w:cs="宋体"/>
                <w:sz w:val="24"/>
              </w:rPr>
              <w:t>投标人在中国境内注册登记具有独立承担民事责任的能力，提供有效的营业执照或者其他主体资格证明文件；投标人为自然人的提供身份证明（适用于自然人参加投标情形）。</w:t>
            </w:r>
          </w:p>
        </w:tc>
        <w:tc>
          <w:tcPr>
            <w:tcW w:w="2338" w:type="dxa"/>
            <w:vAlign w:val="center"/>
          </w:tcPr>
          <w:p w14:paraId="5A3CDE67">
            <w:pPr>
              <w:spacing w:line="360" w:lineRule="auto"/>
              <w:jc w:val="center"/>
              <w:rPr>
                <w:rFonts w:hint="eastAsia" w:ascii="宋体" w:hAnsi="宋体" w:cs="宋体"/>
                <w:b/>
                <w:sz w:val="24"/>
              </w:rPr>
            </w:pPr>
            <w:r>
              <w:rPr>
                <w:rFonts w:hint="eastAsia" w:ascii="宋体" w:hAnsi="宋体" w:cs="宋体"/>
                <w:b/>
                <w:sz w:val="24"/>
              </w:rPr>
              <w:t>审查投标文件中的证明材料的复印件或扫描件</w:t>
            </w:r>
          </w:p>
        </w:tc>
      </w:tr>
      <w:tr w14:paraId="7C2E6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jc w:val="center"/>
        </w:trPr>
        <w:tc>
          <w:tcPr>
            <w:tcW w:w="952" w:type="dxa"/>
            <w:vMerge w:val="continue"/>
            <w:vAlign w:val="center"/>
          </w:tcPr>
          <w:p w14:paraId="15D4A6C5">
            <w:pPr>
              <w:spacing w:line="360" w:lineRule="auto"/>
              <w:rPr>
                <w:rFonts w:hint="eastAsia" w:ascii="宋体" w:hAnsi="宋体" w:cs="宋体"/>
                <w:sz w:val="24"/>
              </w:rPr>
            </w:pPr>
          </w:p>
        </w:tc>
        <w:tc>
          <w:tcPr>
            <w:tcW w:w="800" w:type="dxa"/>
            <w:vMerge w:val="continue"/>
            <w:vAlign w:val="center"/>
          </w:tcPr>
          <w:p w14:paraId="1A0E810D">
            <w:pPr>
              <w:spacing w:line="360" w:lineRule="auto"/>
              <w:jc w:val="center"/>
              <w:rPr>
                <w:rFonts w:hint="eastAsia" w:ascii="宋体" w:hAnsi="宋体" w:cs="宋体"/>
                <w:sz w:val="24"/>
              </w:rPr>
            </w:pPr>
          </w:p>
        </w:tc>
        <w:tc>
          <w:tcPr>
            <w:tcW w:w="5550" w:type="dxa"/>
            <w:gridSpan w:val="3"/>
            <w:vAlign w:val="center"/>
          </w:tcPr>
          <w:p w14:paraId="39798D04">
            <w:pPr>
              <w:spacing w:line="360" w:lineRule="auto"/>
              <w:jc w:val="left"/>
              <w:rPr>
                <w:rFonts w:hint="eastAsia" w:ascii="宋体" w:hAnsi="宋体" w:cs="宋体"/>
                <w:bCs/>
                <w:sz w:val="24"/>
              </w:rPr>
            </w:pPr>
            <w:r>
              <w:rPr>
                <w:rFonts w:hint="eastAsia" w:ascii="宋体" w:hAnsi="宋体" w:cs="宋体"/>
                <w:sz w:val="24"/>
              </w:rPr>
              <w:t>投标文件递交截止时间前投标人在“信用中国”网站(www.creditchina.gov.cn)中未被列入：失信被执行人、重大税收违法失信主体、政府采购严重违法失信行为记录名单；在“中国政府采购网”(www.ccgp.gov.cn)中未被列入：政府采购严重违法失信行为记录名单。</w:t>
            </w:r>
          </w:p>
        </w:tc>
        <w:tc>
          <w:tcPr>
            <w:tcW w:w="2338" w:type="dxa"/>
            <w:vAlign w:val="center"/>
          </w:tcPr>
          <w:p w14:paraId="07239C43">
            <w:pPr>
              <w:spacing w:line="360" w:lineRule="auto"/>
              <w:jc w:val="center"/>
              <w:rPr>
                <w:rFonts w:hint="eastAsia" w:ascii="宋体" w:hAnsi="宋体" w:cs="宋体"/>
                <w:b/>
                <w:bCs/>
                <w:sz w:val="24"/>
              </w:rPr>
            </w:pPr>
            <w:r>
              <w:rPr>
                <w:rFonts w:hint="eastAsia" w:ascii="宋体" w:hAnsi="宋体" w:cs="宋体"/>
                <w:b/>
                <w:bCs/>
                <w:sz w:val="24"/>
              </w:rPr>
              <w:t>由采购人或采购代理机构在评标前进行查询，查询记录为网站查询结果的网页截图或网页打印稿。</w:t>
            </w:r>
          </w:p>
        </w:tc>
      </w:tr>
      <w:tr w14:paraId="7B34F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jc w:val="center"/>
        </w:trPr>
        <w:tc>
          <w:tcPr>
            <w:tcW w:w="952" w:type="dxa"/>
            <w:vMerge w:val="continue"/>
            <w:vAlign w:val="center"/>
          </w:tcPr>
          <w:p w14:paraId="1B22AE29">
            <w:pPr>
              <w:spacing w:line="360" w:lineRule="auto"/>
              <w:rPr>
                <w:rFonts w:hint="eastAsia" w:ascii="宋体" w:hAnsi="宋体" w:cs="宋体"/>
                <w:sz w:val="24"/>
              </w:rPr>
            </w:pPr>
          </w:p>
        </w:tc>
        <w:tc>
          <w:tcPr>
            <w:tcW w:w="8688" w:type="dxa"/>
            <w:gridSpan w:val="5"/>
            <w:vAlign w:val="center"/>
          </w:tcPr>
          <w:p w14:paraId="1C8025C0">
            <w:pPr>
              <w:spacing w:line="360" w:lineRule="auto"/>
              <w:jc w:val="left"/>
              <w:rPr>
                <w:rFonts w:hint="eastAsia" w:ascii="宋体" w:hAnsi="宋体" w:cs="宋体"/>
                <w:b/>
                <w:bCs/>
                <w:sz w:val="24"/>
              </w:rPr>
            </w:pPr>
            <w:r>
              <w:rPr>
                <w:rFonts w:hint="eastAsia" w:ascii="宋体" w:hAnsi="宋体" w:cs="宋体"/>
                <w:b/>
                <w:bCs/>
                <w:sz w:val="24"/>
              </w:rPr>
              <w:t>由采购人或采购代理机构依据资格审查标准对实质性响应的投标人进行资格审查，上述评审标准，投标人须全部满足，否则为不合格的投标人，不得进入符合性评审和投标报价评审。</w:t>
            </w:r>
          </w:p>
        </w:tc>
      </w:tr>
      <w:tr w14:paraId="48738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952" w:type="dxa"/>
            <w:vMerge w:val="restart"/>
            <w:vAlign w:val="center"/>
          </w:tcPr>
          <w:p w14:paraId="3AAE065A">
            <w:pPr>
              <w:spacing w:line="360" w:lineRule="auto"/>
              <w:jc w:val="center"/>
              <w:rPr>
                <w:rFonts w:hint="eastAsia" w:ascii="宋体" w:hAnsi="宋体" w:cs="宋体"/>
                <w:sz w:val="24"/>
              </w:rPr>
            </w:pPr>
            <w:r>
              <w:rPr>
                <w:rFonts w:hint="eastAsia" w:ascii="宋体" w:hAnsi="宋体" w:cs="宋体"/>
                <w:sz w:val="24"/>
              </w:rPr>
              <w:t>二</w:t>
            </w:r>
          </w:p>
        </w:tc>
        <w:tc>
          <w:tcPr>
            <w:tcW w:w="800" w:type="dxa"/>
            <w:vAlign w:val="center"/>
          </w:tcPr>
          <w:p w14:paraId="41367ACB">
            <w:pPr>
              <w:spacing w:line="360" w:lineRule="auto"/>
              <w:jc w:val="center"/>
              <w:rPr>
                <w:rFonts w:hint="eastAsia" w:ascii="宋体" w:hAnsi="宋体" w:cs="宋体"/>
                <w:sz w:val="24"/>
              </w:rPr>
            </w:pPr>
            <w:r>
              <w:rPr>
                <w:rFonts w:hint="eastAsia" w:ascii="宋体" w:hAnsi="宋体" w:cs="宋体"/>
                <w:sz w:val="24"/>
              </w:rPr>
              <w:t>符合性审查</w:t>
            </w:r>
          </w:p>
        </w:tc>
        <w:tc>
          <w:tcPr>
            <w:tcW w:w="7888" w:type="dxa"/>
            <w:gridSpan w:val="4"/>
            <w:vAlign w:val="center"/>
          </w:tcPr>
          <w:p w14:paraId="62119E41">
            <w:pPr>
              <w:spacing w:line="360" w:lineRule="auto"/>
              <w:rPr>
                <w:rFonts w:hint="eastAsia" w:ascii="宋体" w:hAnsi="宋体" w:cs="宋体"/>
                <w:sz w:val="24"/>
              </w:rPr>
            </w:pPr>
            <w:r>
              <w:rPr>
                <w:rFonts w:hint="eastAsia" w:ascii="宋体" w:hAnsi="宋体" w:cs="宋体"/>
                <w:sz w:val="24"/>
              </w:rPr>
              <w:t>（1）未按照招标文件的规定提交投标保证金的；</w:t>
            </w:r>
          </w:p>
          <w:p w14:paraId="58F0FBA7">
            <w:pPr>
              <w:spacing w:line="360" w:lineRule="auto"/>
              <w:rPr>
                <w:rFonts w:hint="eastAsia" w:ascii="宋体" w:hAnsi="宋体" w:cs="宋体"/>
                <w:sz w:val="24"/>
              </w:rPr>
            </w:pPr>
            <w:r>
              <w:rPr>
                <w:rFonts w:hint="eastAsia" w:ascii="宋体" w:hAnsi="宋体" w:cs="宋体"/>
                <w:sz w:val="24"/>
              </w:rPr>
              <w:t>（2）报价超过招标文件中规定的预算金额且采购人不能承担的；</w:t>
            </w:r>
          </w:p>
          <w:p w14:paraId="2FF31FEB">
            <w:pPr>
              <w:spacing w:line="360" w:lineRule="auto"/>
              <w:rPr>
                <w:rFonts w:hint="eastAsia" w:ascii="宋体" w:hAnsi="宋体" w:cs="宋体"/>
                <w:sz w:val="24"/>
              </w:rPr>
            </w:pPr>
            <w:r>
              <w:rPr>
                <w:rFonts w:hint="eastAsia" w:ascii="宋体" w:hAnsi="宋体" w:cs="宋体"/>
                <w:sz w:val="24"/>
              </w:rPr>
              <w:t>（3）投标文件的签署不符合第二章投标人须知前附表第22项规定；</w:t>
            </w:r>
          </w:p>
          <w:p w14:paraId="1D1C4394">
            <w:pPr>
              <w:spacing w:line="360" w:lineRule="auto"/>
              <w:rPr>
                <w:rFonts w:hint="eastAsia" w:ascii="宋体" w:hAnsi="宋体" w:cs="宋体"/>
                <w:sz w:val="24"/>
              </w:rPr>
            </w:pPr>
            <w:r>
              <w:rPr>
                <w:rFonts w:hint="eastAsia" w:ascii="宋体" w:hAnsi="宋体" w:cs="宋体"/>
                <w:sz w:val="24"/>
              </w:rPr>
              <w:t>（4）法人身份证明书、授权委托书不符合招标文件要求；</w:t>
            </w:r>
          </w:p>
          <w:p w14:paraId="605949FF">
            <w:pPr>
              <w:spacing w:line="360" w:lineRule="auto"/>
              <w:rPr>
                <w:rFonts w:hint="eastAsia" w:ascii="宋体" w:hAnsi="宋体" w:cs="宋体"/>
                <w:sz w:val="24"/>
              </w:rPr>
            </w:pPr>
            <w:r>
              <w:rPr>
                <w:rFonts w:hint="eastAsia" w:ascii="宋体" w:hAnsi="宋体" w:cs="宋体"/>
                <w:sz w:val="24"/>
              </w:rPr>
              <w:t>（5）投标文件未按照招标文件要求编制的或投标文件关键字迹模糊、无法辨认的；</w:t>
            </w:r>
          </w:p>
          <w:p w14:paraId="5C78B58B">
            <w:pPr>
              <w:spacing w:line="360" w:lineRule="auto"/>
              <w:rPr>
                <w:rFonts w:hint="eastAsia" w:ascii="宋体" w:hAnsi="宋体" w:cs="宋体"/>
                <w:sz w:val="24"/>
              </w:rPr>
            </w:pPr>
            <w:r>
              <w:rPr>
                <w:rFonts w:hint="eastAsia" w:ascii="宋体" w:hAnsi="宋体" w:cs="宋体"/>
                <w:sz w:val="24"/>
              </w:rPr>
              <w:t>（6）法律法规和招标文件规定的其他无效情形或投标文件含有采购人不能接受的附加条件的；</w:t>
            </w:r>
          </w:p>
          <w:p w14:paraId="1DD983A5">
            <w:pPr>
              <w:spacing w:line="360" w:lineRule="auto"/>
              <w:rPr>
                <w:rFonts w:hint="eastAsia" w:ascii="宋体" w:hAnsi="宋体" w:cs="宋体"/>
                <w:sz w:val="24"/>
              </w:rPr>
            </w:pPr>
            <w:r>
              <w:rPr>
                <w:rFonts w:hint="eastAsia" w:ascii="宋体" w:hAnsi="宋体" w:cs="宋体"/>
                <w:sz w:val="24"/>
              </w:rPr>
              <w:t>（7）不符合招标文件中规定的其它实质性要求。</w:t>
            </w:r>
          </w:p>
          <w:p w14:paraId="3C9C04DE">
            <w:pPr>
              <w:spacing w:line="360" w:lineRule="auto"/>
              <w:rPr>
                <w:rFonts w:hint="eastAsia" w:ascii="宋体" w:hAnsi="宋体" w:cs="宋体"/>
                <w:sz w:val="24"/>
              </w:rPr>
            </w:pPr>
            <w:r>
              <w:rPr>
                <w:rFonts w:hint="eastAsia" w:ascii="宋体" w:hAnsi="宋体" w:cs="宋体"/>
                <w:sz w:val="24"/>
              </w:rPr>
              <w:t>（8）不满足招标文件标注“</w:t>
            </w:r>
            <w:r>
              <w:rPr>
                <w:rFonts w:hint="eastAsia" w:ascii="宋体" w:hAnsi="宋体" w:cs="宋体"/>
                <w:b/>
                <w:sz w:val="24"/>
                <w:lang w:bidi="ar"/>
              </w:rPr>
              <w:t>★</w:t>
            </w:r>
            <w:r>
              <w:rPr>
                <w:rFonts w:hint="eastAsia" w:ascii="宋体" w:hAnsi="宋体" w:cs="宋体"/>
                <w:sz w:val="24"/>
              </w:rPr>
              <w:t>”号条款的实质性要求。</w:t>
            </w:r>
          </w:p>
        </w:tc>
      </w:tr>
      <w:tr w14:paraId="54200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952" w:type="dxa"/>
            <w:vMerge w:val="continue"/>
            <w:vAlign w:val="center"/>
          </w:tcPr>
          <w:p w14:paraId="14127F3C">
            <w:pPr>
              <w:spacing w:line="360" w:lineRule="auto"/>
              <w:jc w:val="center"/>
              <w:rPr>
                <w:rFonts w:hint="eastAsia" w:ascii="宋体" w:hAnsi="宋体" w:cs="宋体"/>
                <w:sz w:val="24"/>
              </w:rPr>
            </w:pPr>
          </w:p>
        </w:tc>
        <w:tc>
          <w:tcPr>
            <w:tcW w:w="8688" w:type="dxa"/>
            <w:gridSpan w:val="5"/>
            <w:vAlign w:val="center"/>
          </w:tcPr>
          <w:p w14:paraId="24A7CAE9">
            <w:pPr>
              <w:spacing w:line="360" w:lineRule="auto"/>
              <w:rPr>
                <w:rFonts w:hint="eastAsia" w:ascii="宋体" w:hAnsi="宋体" w:cs="宋体"/>
                <w:sz w:val="24"/>
              </w:rPr>
            </w:pPr>
            <w:r>
              <w:rPr>
                <w:rFonts w:hint="eastAsia" w:ascii="宋体" w:hAnsi="宋体" w:cs="宋体"/>
                <w:sz w:val="24"/>
              </w:rPr>
              <w:t>上符合性评审内容评审对应为“是”或“否”；评审结论对应为“不通过”或“通过”。若有一项评审内容为“是”则评审结果为“不通过”。</w:t>
            </w:r>
          </w:p>
        </w:tc>
      </w:tr>
      <w:tr w14:paraId="40471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952" w:type="dxa"/>
            <w:vAlign w:val="center"/>
          </w:tcPr>
          <w:p w14:paraId="6B2A3180">
            <w:pPr>
              <w:spacing w:line="360" w:lineRule="auto"/>
              <w:jc w:val="center"/>
              <w:rPr>
                <w:rFonts w:hint="eastAsia" w:ascii="宋体" w:hAnsi="宋体" w:cs="宋体"/>
                <w:sz w:val="24"/>
              </w:rPr>
            </w:pPr>
            <w:r>
              <w:rPr>
                <w:rFonts w:hint="eastAsia" w:ascii="宋体" w:hAnsi="宋体" w:cs="宋体"/>
                <w:b/>
                <w:sz w:val="24"/>
              </w:rPr>
              <w:t>条款号</w:t>
            </w:r>
          </w:p>
        </w:tc>
        <w:tc>
          <w:tcPr>
            <w:tcW w:w="3154" w:type="dxa"/>
            <w:gridSpan w:val="3"/>
            <w:vAlign w:val="center"/>
          </w:tcPr>
          <w:p w14:paraId="4CB9E79F">
            <w:pPr>
              <w:spacing w:line="360" w:lineRule="auto"/>
              <w:jc w:val="center"/>
              <w:rPr>
                <w:rFonts w:hint="eastAsia" w:ascii="宋体" w:hAnsi="宋体" w:cs="宋体"/>
                <w:sz w:val="24"/>
              </w:rPr>
            </w:pPr>
            <w:r>
              <w:rPr>
                <w:rFonts w:hint="eastAsia" w:ascii="宋体" w:hAnsi="宋体" w:cs="宋体"/>
                <w:b/>
                <w:sz w:val="24"/>
              </w:rPr>
              <w:t>条款内容</w:t>
            </w:r>
          </w:p>
        </w:tc>
        <w:tc>
          <w:tcPr>
            <w:tcW w:w="5534" w:type="dxa"/>
            <w:gridSpan w:val="2"/>
            <w:vAlign w:val="center"/>
          </w:tcPr>
          <w:p w14:paraId="12F79CCD">
            <w:pPr>
              <w:spacing w:line="360" w:lineRule="auto"/>
              <w:jc w:val="center"/>
              <w:rPr>
                <w:rFonts w:hint="eastAsia" w:ascii="宋体" w:hAnsi="宋体" w:cs="宋体"/>
                <w:sz w:val="24"/>
              </w:rPr>
            </w:pPr>
            <w:r>
              <w:rPr>
                <w:rFonts w:hint="eastAsia" w:ascii="宋体" w:hAnsi="宋体" w:cs="宋体"/>
                <w:b/>
                <w:sz w:val="24"/>
              </w:rPr>
              <w:t>编列内容</w:t>
            </w:r>
          </w:p>
        </w:tc>
      </w:tr>
      <w:tr w14:paraId="0E009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952" w:type="dxa"/>
            <w:vAlign w:val="center"/>
          </w:tcPr>
          <w:p w14:paraId="023239AB">
            <w:pPr>
              <w:spacing w:line="360" w:lineRule="auto"/>
              <w:jc w:val="center"/>
              <w:rPr>
                <w:rFonts w:hint="eastAsia" w:ascii="宋体" w:hAnsi="宋体" w:cs="宋体"/>
                <w:b/>
                <w:sz w:val="24"/>
              </w:rPr>
            </w:pPr>
            <w:r>
              <w:rPr>
                <w:rFonts w:hint="eastAsia" w:ascii="宋体" w:hAnsi="宋体" w:cs="宋体"/>
                <w:sz w:val="24"/>
              </w:rPr>
              <w:t>三</w:t>
            </w:r>
          </w:p>
        </w:tc>
        <w:tc>
          <w:tcPr>
            <w:tcW w:w="3154" w:type="dxa"/>
            <w:gridSpan w:val="3"/>
            <w:vAlign w:val="center"/>
          </w:tcPr>
          <w:p w14:paraId="5BDB11F6">
            <w:pPr>
              <w:spacing w:line="360" w:lineRule="auto"/>
              <w:jc w:val="center"/>
              <w:rPr>
                <w:rFonts w:hint="eastAsia" w:ascii="宋体" w:hAnsi="宋体" w:cs="宋体"/>
                <w:sz w:val="24"/>
              </w:rPr>
            </w:pPr>
            <w:r>
              <w:rPr>
                <w:rFonts w:hint="eastAsia" w:ascii="宋体" w:hAnsi="宋体" w:cs="宋体"/>
                <w:sz w:val="24"/>
              </w:rPr>
              <w:t>分值构成</w:t>
            </w:r>
          </w:p>
          <w:p w14:paraId="7E4CF716">
            <w:pPr>
              <w:spacing w:line="360" w:lineRule="auto"/>
              <w:jc w:val="center"/>
              <w:rPr>
                <w:rFonts w:hint="eastAsia" w:ascii="宋体" w:hAnsi="宋体" w:cs="宋体"/>
                <w:b/>
                <w:sz w:val="24"/>
              </w:rPr>
            </w:pPr>
            <w:r>
              <w:rPr>
                <w:rFonts w:hint="eastAsia" w:ascii="宋体" w:hAnsi="宋体" w:cs="宋体"/>
                <w:spacing w:val="-8"/>
                <w:sz w:val="24"/>
              </w:rPr>
              <w:t>（满分100分）</w:t>
            </w:r>
          </w:p>
        </w:tc>
        <w:tc>
          <w:tcPr>
            <w:tcW w:w="5534" w:type="dxa"/>
            <w:gridSpan w:val="2"/>
            <w:vAlign w:val="center"/>
          </w:tcPr>
          <w:p w14:paraId="69B00D56">
            <w:pPr>
              <w:spacing w:line="360" w:lineRule="auto"/>
              <w:jc w:val="left"/>
              <w:rPr>
                <w:rFonts w:hint="eastAsia" w:ascii="宋体" w:hAnsi="宋体" w:cs="宋体"/>
                <w:sz w:val="24"/>
              </w:rPr>
            </w:pPr>
            <w:r>
              <w:rPr>
                <w:rFonts w:hint="eastAsia" w:ascii="宋体" w:hAnsi="宋体" w:cs="宋体"/>
                <w:sz w:val="24"/>
              </w:rPr>
              <w:t>本项目采用综合评分法。评标总分值由投标报价部分、技术和商务部分组成，总分值100分。</w:t>
            </w:r>
          </w:p>
          <w:p w14:paraId="21FC904F">
            <w:pPr>
              <w:spacing w:line="360" w:lineRule="auto"/>
              <w:jc w:val="left"/>
              <w:rPr>
                <w:rFonts w:hint="eastAsia" w:ascii="宋体" w:hAnsi="宋体" w:cs="宋体"/>
                <w:sz w:val="24"/>
              </w:rPr>
            </w:pPr>
            <w:r>
              <w:rPr>
                <w:rFonts w:hint="eastAsia" w:ascii="宋体" w:hAnsi="宋体" w:cs="宋体"/>
                <w:sz w:val="24"/>
              </w:rPr>
              <w:t>投标报价部分F1：满分30分</w:t>
            </w:r>
          </w:p>
          <w:p w14:paraId="7138E809">
            <w:pPr>
              <w:spacing w:line="360" w:lineRule="auto"/>
              <w:jc w:val="left"/>
              <w:rPr>
                <w:rFonts w:hint="eastAsia" w:ascii="宋体" w:hAnsi="宋体" w:cs="宋体"/>
                <w:sz w:val="24"/>
              </w:rPr>
            </w:pPr>
            <w:r>
              <w:rPr>
                <w:rFonts w:hint="eastAsia" w:ascii="宋体" w:hAnsi="宋体" w:cs="宋体"/>
                <w:sz w:val="24"/>
              </w:rPr>
              <w:t>技术和商务部分F2：满分70分</w:t>
            </w:r>
          </w:p>
          <w:p w14:paraId="2F2A8A18">
            <w:pPr>
              <w:spacing w:line="360" w:lineRule="auto"/>
              <w:jc w:val="left"/>
              <w:rPr>
                <w:rFonts w:hint="eastAsia" w:ascii="宋体" w:hAnsi="宋体" w:cs="宋体"/>
                <w:sz w:val="24"/>
              </w:rPr>
            </w:pPr>
            <w:r>
              <w:rPr>
                <w:rFonts w:hint="eastAsia" w:ascii="宋体" w:hAnsi="宋体" w:cs="宋体"/>
                <w:sz w:val="24"/>
              </w:rPr>
              <w:t>投标人的评标总得分＝F1＋F2</w:t>
            </w:r>
          </w:p>
        </w:tc>
      </w:tr>
      <w:tr w14:paraId="19A59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952" w:type="dxa"/>
            <w:vAlign w:val="center"/>
          </w:tcPr>
          <w:p w14:paraId="47FC7BDD">
            <w:pPr>
              <w:spacing w:line="360" w:lineRule="auto"/>
              <w:jc w:val="center"/>
              <w:rPr>
                <w:rFonts w:hint="eastAsia" w:ascii="宋体" w:hAnsi="宋体" w:cs="宋体"/>
                <w:sz w:val="24"/>
              </w:rPr>
            </w:pPr>
            <w:r>
              <w:rPr>
                <w:rFonts w:hint="eastAsia" w:ascii="宋体" w:hAnsi="宋体" w:cs="宋体"/>
                <w:b/>
                <w:sz w:val="24"/>
              </w:rPr>
              <w:t>条款号</w:t>
            </w:r>
          </w:p>
        </w:tc>
        <w:tc>
          <w:tcPr>
            <w:tcW w:w="3154" w:type="dxa"/>
            <w:gridSpan w:val="3"/>
            <w:vAlign w:val="center"/>
          </w:tcPr>
          <w:p w14:paraId="3C289597">
            <w:pPr>
              <w:spacing w:line="360" w:lineRule="auto"/>
              <w:jc w:val="center"/>
              <w:rPr>
                <w:rFonts w:hint="eastAsia" w:ascii="宋体" w:hAnsi="宋体" w:cs="宋体"/>
                <w:sz w:val="24"/>
              </w:rPr>
            </w:pPr>
            <w:r>
              <w:rPr>
                <w:rFonts w:hint="eastAsia" w:ascii="宋体" w:hAnsi="宋体" w:cs="宋体"/>
                <w:b/>
                <w:kern w:val="0"/>
                <w:sz w:val="24"/>
              </w:rPr>
              <w:t>评分因素</w:t>
            </w:r>
          </w:p>
        </w:tc>
        <w:tc>
          <w:tcPr>
            <w:tcW w:w="5534" w:type="dxa"/>
            <w:gridSpan w:val="2"/>
            <w:vAlign w:val="center"/>
          </w:tcPr>
          <w:p w14:paraId="7BFFA68E">
            <w:pPr>
              <w:spacing w:line="360" w:lineRule="auto"/>
              <w:jc w:val="center"/>
              <w:rPr>
                <w:rFonts w:hint="eastAsia" w:ascii="宋体" w:hAnsi="宋体" w:cs="宋体"/>
                <w:sz w:val="24"/>
              </w:rPr>
            </w:pPr>
            <w:r>
              <w:rPr>
                <w:rFonts w:hint="eastAsia" w:ascii="宋体" w:hAnsi="宋体" w:cs="宋体"/>
                <w:b/>
                <w:kern w:val="0"/>
                <w:sz w:val="24"/>
              </w:rPr>
              <w:t>评分标准</w:t>
            </w:r>
          </w:p>
        </w:tc>
      </w:tr>
      <w:tr w14:paraId="1F550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952" w:type="dxa"/>
            <w:vAlign w:val="center"/>
          </w:tcPr>
          <w:p w14:paraId="01282FDB">
            <w:pPr>
              <w:spacing w:line="360" w:lineRule="auto"/>
              <w:jc w:val="center"/>
              <w:rPr>
                <w:rFonts w:hint="eastAsia" w:ascii="宋体" w:hAnsi="宋体" w:cs="宋体"/>
                <w:kern w:val="0"/>
                <w:sz w:val="24"/>
              </w:rPr>
            </w:pPr>
            <w:r>
              <w:rPr>
                <w:rFonts w:hint="eastAsia" w:ascii="宋体" w:hAnsi="宋体" w:cs="宋体"/>
                <w:sz w:val="24"/>
              </w:rPr>
              <w:t>F1</w:t>
            </w:r>
          </w:p>
        </w:tc>
        <w:tc>
          <w:tcPr>
            <w:tcW w:w="3154" w:type="dxa"/>
            <w:gridSpan w:val="3"/>
            <w:vAlign w:val="center"/>
          </w:tcPr>
          <w:p w14:paraId="7DC0A358">
            <w:pPr>
              <w:spacing w:line="360" w:lineRule="auto"/>
              <w:jc w:val="center"/>
              <w:rPr>
                <w:rFonts w:hint="eastAsia" w:ascii="宋体" w:hAnsi="宋体" w:cs="宋体"/>
                <w:sz w:val="24"/>
              </w:rPr>
            </w:pPr>
            <w:r>
              <w:rPr>
                <w:rFonts w:hint="eastAsia" w:ascii="宋体" w:hAnsi="宋体" w:cs="宋体"/>
                <w:sz w:val="24"/>
              </w:rPr>
              <w:t>投标报价部分评分标准</w:t>
            </w:r>
          </w:p>
          <w:p w14:paraId="62476F6A">
            <w:pPr>
              <w:spacing w:line="360" w:lineRule="auto"/>
              <w:jc w:val="center"/>
              <w:rPr>
                <w:rFonts w:hint="eastAsia" w:ascii="宋体" w:hAnsi="宋体" w:cs="宋体"/>
                <w:kern w:val="0"/>
                <w:sz w:val="24"/>
              </w:rPr>
            </w:pPr>
            <w:r>
              <w:rPr>
                <w:rFonts w:hint="eastAsia" w:ascii="宋体" w:hAnsi="宋体" w:cs="宋体"/>
                <w:sz w:val="24"/>
              </w:rPr>
              <w:t>（满分30分）</w:t>
            </w:r>
          </w:p>
        </w:tc>
        <w:tc>
          <w:tcPr>
            <w:tcW w:w="5534" w:type="dxa"/>
            <w:gridSpan w:val="2"/>
            <w:vAlign w:val="center"/>
          </w:tcPr>
          <w:p w14:paraId="698A120B">
            <w:pPr>
              <w:spacing w:line="360" w:lineRule="auto"/>
              <w:rPr>
                <w:rFonts w:hint="eastAsia" w:ascii="宋体" w:hAnsi="宋体" w:cs="宋体"/>
                <w:sz w:val="24"/>
              </w:rPr>
            </w:pPr>
            <w:r>
              <w:rPr>
                <w:rFonts w:hint="eastAsia" w:ascii="宋体" w:hAnsi="宋体" w:cs="宋体"/>
                <w:sz w:val="24"/>
              </w:rPr>
              <w:t>投标报价得分统一采用低价优先法计算，即满足招标文件要求（指通过符合性评审的报价）且投标价格最低的投标报价为评标基准价，其价格分为满分。其他投标人的价格分统一按照下列公式计算：</w:t>
            </w:r>
          </w:p>
          <w:p w14:paraId="70E31658">
            <w:pPr>
              <w:adjustRightInd w:val="0"/>
              <w:snapToGrid w:val="0"/>
              <w:spacing w:line="360" w:lineRule="auto"/>
              <w:rPr>
                <w:rFonts w:hint="eastAsia" w:ascii="宋体" w:hAnsi="宋体" w:cs="宋体"/>
                <w:b/>
                <w:bCs/>
                <w:sz w:val="24"/>
              </w:rPr>
            </w:pPr>
            <w:r>
              <w:rPr>
                <w:rFonts w:hint="eastAsia" w:ascii="宋体" w:hAnsi="宋体" w:cs="宋体"/>
                <w:b/>
                <w:bCs/>
                <w:sz w:val="24"/>
              </w:rPr>
              <w:t>投标报价得分＝（评标基准价/投标报价）×30。</w:t>
            </w:r>
          </w:p>
          <w:p w14:paraId="52DD32D1">
            <w:pPr>
              <w:spacing w:line="360" w:lineRule="auto"/>
              <w:rPr>
                <w:rFonts w:hint="eastAsia" w:ascii="宋体" w:hAnsi="宋体" w:cs="宋体"/>
                <w:sz w:val="24"/>
              </w:rPr>
            </w:pPr>
            <w:r>
              <w:rPr>
                <w:rFonts w:hint="eastAsia" w:ascii="宋体" w:hAnsi="宋体" w:cs="宋体"/>
                <w:sz w:val="24"/>
              </w:rPr>
              <w:t>注：①评标过程中，不得去掉报价中的最高报价和最低报价；</w:t>
            </w:r>
          </w:p>
          <w:p w14:paraId="0AF357B7">
            <w:pPr>
              <w:spacing w:line="360" w:lineRule="auto"/>
              <w:rPr>
                <w:rFonts w:hint="eastAsia" w:ascii="宋体" w:hAnsi="宋体" w:cs="宋体"/>
                <w:sz w:val="24"/>
              </w:rPr>
            </w:pPr>
            <w:r>
              <w:rPr>
                <w:rFonts w:hint="eastAsia" w:ascii="宋体" w:hAnsi="宋体" w:cs="宋体"/>
                <w:sz w:val="24"/>
              </w:rPr>
              <w:t xml:space="preserve">②因落实政府采购政策进行价格调整的，以调整后的评审价格计算评标基准价和投标报价得分。若投标人符合本项目招标文件第二章《投标须知前附表》第29条中（1）、（2）、（3）相关规定的，其投标报价给以10%的价格扣除，用扣除后的价格参加评审。评审价格=投标报价*90% </w:t>
            </w:r>
          </w:p>
          <w:p w14:paraId="3478CE83">
            <w:pPr>
              <w:spacing w:line="360" w:lineRule="auto"/>
              <w:rPr>
                <w:rFonts w:hint="eastAsia" w:ascii="宋体" w:hAnsi="宋体" w:cs="宋体"/>
                <w:sz w:val="24"/>
              </w:rPr>
            </w:pPr>
            <w:r>
              <w:rPr>
                <w:rFonts w:hint="eastAsia" w:ascii="宋体" w:hAnsi="宋体" w:cs="宋体"/>
                <w:sz w:val="24"/>
              </w:rPr>
              <w:t>③政府采购活动中既有本国产品又有非本国产品参与竞争的，依法对本国产品给予价格评审优惠，对本国产品的报价给予20%的价格扣除，用扣除后的价格参与评审。</w:t>
            </w:r>
          </w:p>
          <w:p w14:paraId="199758ED">
            <w:pPr>
              <w:spacing w:line="360" w:lineRule="auto"/>
              <w:ind w:firstLine="480" w:firstLineChars="200"/>
              <w:rPr>
                <w:rFonts w:hint="eastAsia" w:ascii="宋体" w:hAnsi="宋体" w:cs="宋体"/>
                <w:sz w:val="24"/>
              </w:rPr>
            </w:pPr>
            <w:r>
              <w:rPr>
                <w:rFonts w:hint="eastAsia" w:ascii="宋体" w:hAnsi="宋体" w:cs="宋体"/>
                <w:sz w:val="24"/>
              </w:rPr>
              <w:t>当采购项目中含有多种产品，投标人为该采购项目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5E3B2DB3">
            <w:pPr>
              <w:spacing w:line="360" w:lineRule="auto"/>
              <w:jc w:val="left"/>
              <w:rPr>
                <w:rFonts w:hint="eastAsia" w:ascii="宋体" w:hAnsi="宋体" w:cs="宋体"/>
                <w:kern w:val="0"/>
                <w:sz w:val="24"/>
              </w:rPr>
            </w:pPr>
            <w:r>
              <w:rPr>
                <w:rFonts w:hint="eastAsia" w:ascii="宋体" w:hAnsi="宋体" w:cs="宋体"/>
                <w:sz w:val="24"/>
              </w:rPr>
              <w:t xml:space="preserve">④计算结果保留小数点后 2位。 </w:t>
            </w:r>
          </w:p>
        </w:tc>
      </w:tr>
      <w:tr w14:paraId="0A9BF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952" w:type="dxa"/>
            <w:vMerge w:val="restart"/>
            <w:vAlign w:val="center"/>
          </w:tcPr>
          <w:p w14:paraId="1D391707">
            <w:pPr>
              <w:spacing w:line="360" w:lineRule="auto"/>
              <w:jc w:val="center"/>
              <w:rPr>
                <w:rFonts w:hint="eastAsia" w:ascii="宋体" w:hAnsi="宋体" w:cs="宋体"/>
                <w:sz w:val="24"/>
              </w:rPr>
            </w:pPr>
            <w:r>
              <w:rPr>
                <w:rFonts w:hint="eastAsia" w:ascii="宋体" w:hAnsi="宋体" w:cs="宋体"/>
                <w:sz w:val="24"/>
              </w:rPr>
              <w:t>F2</w:t>
            </w:r>
          </w:p>
        </w:tc>
        <w:tc>
          <w:tcPr>
            <w:tcW w:w="1282" w:type="dxa"/>
            <w:gridSpan w:val="2"/>
            <w:vMerge w:val="restart"/>
            <w:vAlign w:val="center"/>
          </w:tcPr>
          <w:p w14:paraId="32352C67">
            <w:pPr>
              <w:spacing w:line="360" w:lineRule="auto"/>
              <w:jc w:val="center"/>
              <w:rPr>
                <w:rFonts w:hint="eastAsia" w:ascii="宋体" w:hAnsi="宋体" w:cs="宋体"/>
                <w:sz w:val="24"/>
              </w:rPr>
            </w:pPr>
            <w:r>
              <w:rPr>
                <w:rFonts w:hint="eastAsia" w:ascii="宋体" w:hAnsi="宋体" w:cs="宋体"/>
                <w:sz w:val="24"/>
              </w:rPr>
              <w:t>技术和商务评分标准</w:t>
            </w:r>
          </w:p>
          <w:p w14:paraId="3CF5427C">
            <w:pPr>
              <w:spacing w:line="360" w:lineRule="auto"/>
              <w:jc w:val="center"/>
              <w:rPr>
                <w:rFonts w:hint="eastAsia" w:ascii="宋体" w:hAnsi="宋体" w:cs="宋体"/>
                <w:sz w:val="24"/>
              </w:rPr>
            </w:pPr>
            <w:r>
              <w:rPr>
                <w:rFonts w:hint="eastAsia" w:ascii="宋体" w:hAnsi="宋体" w:cs="宋体"/>
                <w:sz w:val="24"/>
              </w:rPr>
              <w:t>（70分）</w:t>
            </w:r>
          </w:p>
        </w:tc>
        <w:tc>
          <w:tcPr>
            <w:tcW w:w="1872" w:type="dxa"/>
            <w:vAlign w:val="center"/>
          </w:tcPr>
          <w:p w14:paraId="28046B6F">
            <w:pPr>
              <w:snapToGrid w:val="0"/>
              <w:spacing w:line="360" w:lineRule="auto"/>
              <w:ind w:left="-2" w:leftChars="-1"/>
              <w:jc w:val="center"/>
              <w:rPr>
                <w:rFonts w:hint="eastAsia" w:ascii="宋体" w:hAnsi="宋体" w:cs="宋体"/>
                <w:sz w:val="24"/>
              </w:rPr>
            </w:pPr>
            <w:r>
              <w:rPr>
                <w:rFonts w:hint="eastAsia" w:ascii="宋体" w:hAnsi="宋体" w:cs="宋体"/>
                <w:sz w:val="24"/>
              </w:rPr>
              <w:t>技术参数的响应程度评审</w:t>
            </w:r>
          </w:p>
          <w:p w14:paraId="4C9A59BD">
            <w:pPr>
              <w:snapToGrid w:val="0"/>
              <w:spacing w:line="360" w:lineRule="auto"/>
              <w:ind w:left="-2" w:leftChars="-1"/>
              <w:jc w:val="center"/>
              <w:rPr>
                <w:rFonts w:hint="eastAsia" w:ascii="宋体" w:hAnsi="宋体" w:cs="宋体"/>
                <w:sz w:val="24"/>
              </w:rPr>
            </w:pPr>
            <w:r>
              <w:rPr>
                <w:rFonts w:hint="eastAsia" w:ascii="宋体" w:hAnsi="宋体" w:cs="宋体"/>
                <w:sz w:val="24"/>
              </w:rPr>
              <w:t>（满分40分）</w:t>
            </w:r>
          </w:p>
          <w:p w14:paraId="58718E63">
            <w:pPr>
              <w:snapToGrid w:val="0"/>
              <w:spacing w:line="360" w:lineRule="auto"/>
              <w:ind w:left="-2" w:leftChars="-1"/>
              <w:jc w:val="center"/>
              <w:rPr>
                <w:rFonts w:hint="eastAsia" w:ascii="宋体" w:hAnsi="宋体" w:cs="宋体"/>
                <w:b/>
                <w:sz w:val="24"/>
              </w:rPr>
            </w:pPr>
          </w:p>
        </w:tc>
        <w:tc>
          <w:tcPr>
            <w:tcW w:w="5534" w:type="dxa"/>
            <w:gridSpan w:val="2"/>
            <w:vAlign w:val="center"/>
          </w:tcPr>
          <w:p w14:paraId="177046EE">
            <w:pPr>
              <w:adjustRightInd w:val="0"/>
              <w:spacing w:line="360" w:lineRule="auto"/>
              <w:rPr>
                <w:rFonts w:hint="eastAsia" w:ascii="宋体" w:hAnsi="宋体" w:cs="宋体"/>
                <w:b/>
                <w:bCs/>
                <w:sz w:val="24"/>
              </w:rPr>
            </w:pPr>
            <w:r>
              <w:rPr>
                <w:rFonts w:hint="eastAsia" w:ascii="宋体" w:hAnsi="宋体" w:cs="宋体"/>
                <w:sz w:val="24"/>
              </w:rPr>
              <w:t xml:space="preserve">    根据投标人提供的《技术参数响应偏离表》和技术支持资料，对照招标文件的技术参数进行评审。所投产品指标满足或优于招标文件技术参数的得满分40分。</w:t>
            </w:r>
          </w:p>
          <w:p w14:paraId="495DDF91">
            <w:pPr>
              <w:adjustRightInd w:val="0"/>
              <w:spacing w:line="360" w:lineRule="auto"/>
              <w:rPr>
                <w:rFonts w:hint="eastAsia" w:ascii="宋体" w:hAnsi="宋体" w:cs="宋体"/>
                <w:b/>
                <w:bCs/>
                <w:sz w:val="24"/>
              </w:rPr>
            </w:pPr>
            <w:r>
              <w:rPr>
                <w:rFonts w:hint="eastAsia" w:ascii="宋体" w:hAnsi="宋体" w:cs="宋体"/>
                <w:b/>
                <w:bCs/>
                <w:sz w:val="24"/>
              </w:rPr>
              <w:t>（1）重要技术参数（标注“▲”参数）评审（满分26.4分）</w:t>
            </w:r>
          </w:p>
          <w:p w14:paraId="3156A5FA">
            <w:pPr>
              <w:adjustRightInd w:val="0"/>
              <w:spacing w:line="360" w:lineRule="auto"/>
              <w:rPr>
                <w:rFonts w:hint="eastAsia" w:ascii="宋体" w:hAnsi="宋体" w:cs="宋体"/>
                <w:sz w:val="24"/>
              </w:rPr>
            </w:pPr>
            <w:r>
              <w:rPr>
                <w:rFonts w:hint="eastAsia" w:ascii="宋体" w:hAnsi="宋体" w:cs="宋体"/>
                <w:sz w:val="24"/>
              </w:rPr>
              <w:t>第四章“采购需求及技术参数要求”，标注“</w:t>
            </w:r>
            <w:r>
              <w:rPr>
                <w:rFonts w:hint="eastAsia" w:ascii="宋体" w:hAnsi="宋体" w:cs="宋体"/>
                <w:b/>
                <w:sz w:val="24"/>
              </w:rPr>
              <w:t>▲</w:t>
            </w:r>
            <w:r>
              <w:rPr>
                <w:rFonts w:hint="eastAsia" w:ascii="宋体" w:hAnsi="宋体" w:cs="宋体"/>
                <w:sz w:val="24"/>
              </w:rPr>
              <w:t>”号的为重要技术参数，共计66条，1条标注“</w:t>
            </w:r>
            <w:r>
              <w:rPr>
                <w:rFonts w:hint="eastAsia" w:ascii="宋体" w:hAnsi="宋体" w:cs="宋体"/>
                <w:b/>
                <w:sz w:val="24"/>
              </w:rPr>
              <w:t>▲</w:t>
            </w:r>
            <w:r>
              <w:rPr>
                <w:rFonts w:hint="eastAsia" w:ascii="宋体" w:hAnsi="宋体" w:cs="宋体"/>
                <w:sz w:val="24"/>
              </w:rPr>
              <w:t>”参数为0.4分，每出现1条标注“</w:t>
            </w:r>
            <w:r>
              <w:rPr>
                <w:rFonts w:hint="eastAsia" w:ascii="宋体" w:hAnsi="宋体" w:cs="宋体"/>
                <w:b/>
                <w:sz w:val="24"/>
              </w:rPr>
              <w:t>▲</w:t>
            </w:r>
            <w:r>
              <w:rPr>
                <w:rFonts w:hint="eastAsia" w:ascii="宋体" w:hAnsi="宋体" w:cs="宋体"/>
                <w:sz w:val="24"/>
              </w:rPr>
              <w:t>”的重要技术参数不满足招标文件要求的扣0.4分；扣完为止。</w:t>
            </w:r>
          </w:p>
          <w:p w14:paraId="642A3BAA">
            <w:pPr>
              <w:adjustRightInd w:val="0"/>
              <w:spacing w:line="360" w:lineRule="auto"/>
              <w:rPr>
                <w:rFonts w:hint="eastAsia" w:ascii="宋体" w:hAnsi="宋体" w:cs="宋体"/>
                <w:b/>
                <w:bCs/>
                <w:sz w:val="24"/>
              </w:rPr>
            </w:pPr>
            <w:r>
              <w:rPr>
                <w:rFonts w:hint="eastAsia" w:ascii="宋体" w:hAnsi="宋体" w:cs="宋体"/>
                <w:b/>
                <w:bCs/>
                <w:sz w:val="24"/>
              </w:rPr>
              <w:t>（2）一般技术参数（标注“■”参数）评审（满分13.6分）</w:t>
            </w:r>
          </w:p>
          <w:p w14:paraId="433FCC6A">
            <w:pPr>
              <w:adjustRightInd w:val="0"/>
              <w:spacing w:line="360" w:lineRule="auto"/>
              <w:rPr>
                <w:rFonts w:hint="eastAsia" w:ascii="宋体" w:hAnsi="宋体" w:cs="宋体"/>
                <w:sz w:val="24"/>
              </w:rPr>
            </w:pPr>
            <w:r>
              <w:rPr>
                <w:rFonts w:hint="eastAsia" w:ascii="宋体" w:hAnsi="宋体" w:cs="宋体"/>
                <w:sz w:val="24"/>
              </w:rPr>
              <w:t>第四章“采购需求及技术参数要求”，标注“</w:t>
            </w:r>
            <w:r>
              <w:rPr>
                <w:rFonts w:hint="eastAsia" w:ascii="宋体" w:hAnsi="宋体" w:cs="宋体"/>
                <w:b/>
                <w:bCs/>
                <w:szCs w:val="21"/>
              </w:rPr>
              <w:t>■</w:t>
            </w:r>
            <w:r>
              <w:rPr>
                <w:rFonts w:hint="eastAsia" w:ascii="宋体" w:hAnsi="宋体" w:cs="宋体"/>
                <w:sz w:val="24"/>
              </w:rPr>
              <w:t>”号的为一般技术参数，共计68条，1条标注“</w:t>
            </w:r>
            <w:r>
              <w:rPr>
                <w:rFonts w:hint="eastAsia" w:ascii="宋体" w:hAnsi="宋体" w:cs="宋体"/>
                <w:b/>
                <w:bCs/>
                <w:szCs w:val="21"/>
              </w:rPr>
              <w:t>■</w:t>
            </w:r>
            <w:r>
              <w:rPr>
                <w:rFonts w:hint="eastAsia" w:ascii="宋体" w:hAnsi="宋体" w:cs="宋体"/>
                <w:sz w:val="24"/>
              </w:rPr>
              <w:t>”参数为0.2分，每出现1条标注“</w:t>
            </w:r>
            <w:r>
              <w:rPr>
                <w:rFonts w:hint="eastAsia" w:ascii="宋体" w:hAnsi="宋体" w:cs="宋体"/>
                <w:b/>
                <w:bCs/>
                <w:szCs w:val="21"/>
              </w:rPr>
              <w:t>■</w:t>
            </w:r>
            <w:r>
              <w:rPr>
                <w:rFonts w:hint="eastAsia" w:ascii="宋体" w:hAnsi="宋体" w:cs="宋体"/>
                <w:sz w:val="24"/>
              </w:rPr>
              <w:t>”的重要技术参数不满足招标文件要求的扣0.2分；扣完为止。</w:t>
            </w:r>
          </w:p>
          <w:p w14:paraId="0191C851">
            <w:pPr>
              <w:adjustRightInd w:val="0"/>
              <w:spacing w:line="360" w:lineRule="auto"/>
              <w:rPr>
                <w:rFonts w:hint="eastAsia" w:ascii="宋体" w:hAnsi="宋体" w:cs="宋体"/>
                <w:b/>
                <w:bCs/>
                <w:sz w:val="24"/>
              </w:rPr>
            </w:pPr>
            <w:r>
              <w:rPr>
                <w:rFonts w:hint="eastAsia" w:ascii="宋体" w:hAnsi="宋体" w:cs="宋体"/>
                <w:b/>
                <w:bCs/>
                <w:sz w:val="24"/>
              </w:rPr>
              <w:t>注：①每一条评审技术参数（标注“▲”参数及标注“■”参数）要求须提供相关证明材料（第四章“采购需求及技术参数要求”中有要求的按要求提供，无要求的自行提供），未提供证明材料的，视为参数负偏离。证明材料应制作索引目录并框图标识，方便评委查找。不制作索引目录或编排混乱导致评委漏查的，造成的不利后果由投标人自行承担责任。</w:t>
            </w:r>
          </w:p>
          <w:p w14:paraId="50BE7BAE">
            <w:pPr>
              <w:spacing w:line="360" w:lineRule="auto"/>
              <w:rPr>
                <w:rFonts w:hint="eastAsia" w:ascii="宋体" w:hAnsi="宋体" w:cs="宋体"/>
                <w:b/>
                <w:bCs/>
                <w:sz w:val="24"/>
              </w:rPr>
            </w:pPr>
            <w:r>
              <w:rPr>
                <w:rFonts w:hint="eastAsia" w:ascii="宋体" w:hAnsi="宋体" w:cs="宋体"/>
                <w:b/>
                <w:bCs/>
                <w:sz w:val="24"/>
              </w:rPr>
              <w:t>②证明材料可以为产品说明书或技术白皮书或检测报告或印刷宣传彩页或设备铭牌等。证明材料应当字迹清晰可见，否则造成的不利后果由投标人自行承担责任。</w:t>
            </w:r>
          </w:p>
          <w:p w14:paraId="369B9B27">
            <w:pPr>
              <w:spacing w:line="360" w:lineRule="auto"/>
              <w:rPr>
                <w:rFonts w:hint="eastAsia" w:ascii="宋体" w:hAnsi="宋体" w:cs="宋体"/>
                <w:b/>
                <w:bCs/>
                <w:sz w:val="24"/>
              </w:rPr>
            </w:pPr>
            <w:r>
              <w:rPr>
                <w:rFonts w:hint="eastAsia" w:ascii="宋体" w:hAnsi="宋体" w:cs="宋体"/>
                <w:b/>
                <w:bCs/>
                <w:sz w:val="24"/>
              </w:rPr>
              <w:t>③未标注“▲”和“■”的内容不纳入本项目评分范围。</w:t>
            </w:r>
          </w:p>
        </w:tc>
      </w:tr>
      <w:tr w14:paraId="7B2F1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952" w:type="dxa"/>
            <w:vMerge w:val="continue"/>
            <w:vAlign w:val="center"/>
          </w:tcPr>
          <w:p w14:paraId="1D55819C">
            <w:pPr>
              <w:spacing w:line="360" w:lineRule="auto"/>
              <w:jc w:val="center"/>
              <w:rPr>
                <w:rFonts w:hint="eastAsia" w:ascii="宋体" w:hAnsi="宋体" w:cs="宋体"/>
                <w:sz w:val="24"/>
              </w:rPr>
            </w:pPr>
          </w:p>
        </w:tc>
        <w:tc>
          <w:tcPr>
            <w:tcW w:w="1282" w:type="dxa"/>
            <w:gridSpan w:val="2"/>
            <w:vMerge w:val="continue"/>
            <w:vAlign w:val="center"/>
          </w:tcPr>
          <w:p w14:paraId="7459F6B0">
            <w:pPr>
              <w:spacing w:line="360" w:lineRule="auto"/>
              <w:jc w:val="center"/>
              <w:rPr>
                <w:rFonts w:hint="eastAsia" w:ascii="宋体" w:hAnsi="宋体" w:cs="宋体"/>
                <w:sz w:val="24"/>
              </w:rPr>
            </w:pPr>
          </w:p>
        </w:tc>
        <w:tc>
          <w:tcPr>
            <w:tcW w:w="1872" w:type="dxa"/>
            <w:vAlign w:val="center"/>
          </w:tcPr>
          <w:p w14:paraId="3A59C6E8">
            <w:pPr>
              <w:spacing w:line="360" w:lineRule="auto"/>
              <w:jc w:val="center"/>
              <w:rPr>
                <w:rFonts w:hint="eastAsia" w:ascii="宋体" w:hAnsi="宋体" w:cs="宋体"/>
                <w:sz w:val="24"/>
              </w:rPr>
            </w:pPr>
            <w:r>
              <w:rPr>
                <w:rFonts w:hint="eastAsia" w:ascii="宋体" w:hAnsi="宋体" w:cs="宋体"/>
                <w:sz w:val="24"/>
              </w:rPr>
              <w:t>项目供货方案</w:t>
            </w:r>
          </w:p>
          <w:p w14:paraId="21308D9F">
            <w:pPr>
              <w:spacing w:line="360" w:lineRule="auto"/>
              <w:jc w:val="center"/>
              <w:rPr>
                <w:rFonts w:hint="eastAsia" w:ascii="宋体" w:hAnsi="宋体" w:cs="宋体"/>
                <w:sz w:val="24"/>
              </w:rPr>
            </w:pPr>
            <w:r>
              <w:rPr>
                <w:rFonts w:hint="eastAsia" w:ascii="宋体" w:hAnsi="宋体" w:cs="宋体"/>
                <w:sz w:val="24"/>
              </w:rPr>
              <w:t>（满分15分）</w:t>
            </w:r>
          </w:p>
        </w:tc>
        <w:tc>
          <w:tcPr>
            <w:tcW w:w="5534" w:type="dxa"/>
            <w:gridSpan w:val="2"/>
            <w:vAlign w:val="center"/>
          </w:tcPr>
          <w:p w14:paraId="5EB5D058">
            <w:pPr>
              <w:adjustRightInd w:val="0"/>
              <w:spacing w:line="360" w:lineRule="auto"/>
              <w:rPr>
                <w:rFonts w:hint="eastAsia" w:ascii="宋体" w:hAnsi="宋体" w:cs="宋体"/>
                <w:sz w:val="24"/>
              </w:rPr>
            </w:pPr>
            <w:r>
              <w:rPr>
                <w:rFonts w:hint="eastAsia" w:ascii="宋体" w:hAnsi="宋体" w:cs="宋体"/>
                <w:sz w:val="24"/>
              </w:rPr>
              <w:t>根据投标人提供的</w:t>
            </w:r>
            <w:r>
              <w:rPr>
                <w:rFonts w:hint="eastAsia" w:ascii="宋体" w:hAnsi="宋体" w:cs="宋体"/>
                <w:b/>
                <w:bCs/>
                <w:sz w:val="24"/>
              </w:rPr>
              <w:t>（1）供货能力及供货渠道；（2）进度安排(包括运输、安装、调试及验收等各项工作)；（3）产品质量保证措施及保障承诺；（4）供货保证措施及惩处措施；（5）相对应的惩处措施等</w:t>
            </w:r>
            <w:r>
              <w:rPr>
                <w:rFonts w:hint="eastAsia" w:ascii="宋体" w:hAnsi="宋体" w:cs="宋体"/>
                <w:sz w:val="24"/>
              </w:rPr>
              <w:t xml:space="preserve">进行综合评审： </w:t>
            </w:r>
          </w:p>
          <w:p w14:paraId="0006BA08">
            <w:pPr>
              <w:adjustRightInd w:val="0"/>
              <w:spacing w:line="360" w:lineRule="auto"/>
              <w:rPr>
                <w:rFonts w:hint="eastAsia" w:ascii="宋体" w:hAnsi="宋体" w:cs="宋体"/>
                <w:sz w:val="24"/>
              </w:rPr>
            </w:pPr>
            <w:r>
              <w:rPr>
                <w:rFonts w:hint="eastAsia" w:ascii="宋体" w:hAnsi="宋体" w:cs="宋体"/>
                <w:sz w:val="24"/>
              </w:rPr>
              <w:t>①供货方案阐述完整全面、完善具体、合理可行，针对性强，具有可实施性及针对性的得满分25分；</w:t>
            </w:r>
          </w:p>
          <w:p w14:paraId="1D1B7443">
            <w:pPr>
              <w:adjustRightInd w:val="0"/>
              <w:spacing w:line="360" w:lineRule="auto"/>
              <w:rPr>
                <w:rFonts w:hint="eastAsia" w:ascii="宋体" w:hAnsi="宋体" w:cs="宋体"/>
                <w:sz w:val="24"/>
              </w:rPr>
            </w:pPr>
            <w:r>
              <w:rPr>
                <w:rFonts w:hint="eastAsia" w:ascii="宋体" w:hAnsi="宋体" w:cs="宋体"/>
                <w:sz w:val="24"/>
              </w:rPr>
              <w:t>②以上“（1）、（2）、（3）、（4）、（5）”五项内容每缺少一项内容扣3分。</w:t>
            </w:r>
          </w:p>
          <w:p w14:paraId="41480063">
            <w:pPr>
              <w:adjustRightInd w:val="0"/>
              <w:spacing w:line="360" w:lineRule="auto"/>
              <w:rPr>
                <w:rFonts w:hint="eastAsia" w:ascii="宋体" w:hAnsi="宋体" w:cs="宋体"/>
                <w:sz w:val="24"/>
              </w:rPr>
            </w:pPr>
            <w:r>
              <w:rPr>
                <w:rFonts w:hint="eastAsia" w:ascii="宋体" w:hAnsi="宋体" w:cs="宋体"/>
                <w:sz w:val="24"/>
              </w:rPr>
              <w:t>③以上任意一项内容每有一处描述缺陷的扣1分；以上内容涉及到的描述缺陷是指：内容无针对性，不全面、不清晰、无可行性，内容与实际情况不匹配、不符合项目特点或无法达到预期效果、不适用于本项目、内容不符合相关规范要求、内容与本项目无关等任意一种情形。</w:t>
            </w:r>
          </w:p>
          <w:p w14:paraId="0243B979">
            <w:pPr>
              <w:spacing w:line="360" w:lineRule="auto"/>
              <w:jc w:val="left"/>
              <w:rPr>
                <w:rFonts w:hint="eastAsia" w:ascii="宋体" w:hAnsi="宋体" w:cs="宋体"/>
                <w:sz w:val="24"/>
              </w:rPr>
            </w:pPr>
            <w:r>
              <w:rPr>
                <w:rFonts w:hint="eastAsia" w:ascii="宋体" w:hAnsi="宋体" w:cs="宋体"/>
                <w:b/>
                <w:bCs/>
                <w:sz w:val="24"/>
              </w:rPr>
              <w:t>注</w:t>
            </w:r>
            <w:r>
              <w:rPr>
                <w:rFonts w:hint="eastAsia" w:ascii="宋体" w:hAnsi="宋体" w:cs="宋体"/>
                <w:sz w:val="24"/>
              </w:rPr>
              <w:t>：②③条款不重复扣分，扣完为止。</w:t>
            </w:r>
          </w:p>
        </w:tc>
      </w:tr>
      <w:tr w14:paraId="1AF63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952" w:type="dxa"/>
            <w:vMerge w:val="continue"/>
            <w:vAlign w:val="center"/>
          </w:tcPr>
          <w:p w14:paraId="57F20783">
            <w:pPr>
              <w:spacing w:line="360" w:lineRule="auto"/>
              <w:jc w:val="center"/>
              <w:rPr>
                <w:rFonts w:hint="eastAsia" w:ascii="宋体" w:hAnsi="宋体" w:cs="宋体"/>
                <w:sz w:val="24"/>
              </w:rPr>
            </w:pPr>
          </w:p>
        </w:tc>
        <w:tc>
          <w:tcPr>
            <w:tcW w:w="1282" w:type="dxa"/>
            <w:gridSpan w:val="2"/>
            <w:vMerge w:val="continue"/>
            <w:vAlign w:val="center"/>
          </w:tcPr>
          <w:p w14:paraId="7B171BDB">
            <w:pPr>
              <w:spacing w:line="360" w:lineRule="auto"/>
              <w:jc w:val="center"/>
              <w:rPr>
                <w:rFonts w:hint="eastAsia" w:ascii="宋体" w:hAnsi="宋体" w:cs="宋体"/>
                <w:sz w:val="24"/>
              </w:rPr>
            </w:pPr>
          </w:p>
        </w:tc>
        <w:tc>
          <w:tcPr>
            <w:tcW w:w="1872" w:type="dxa"/>
            <w:vAlign w:val="center"/>
          </w:tcPr>
          <w:p w14:paraId="409496A5">
            <w:pPr>
              <w:spacing w:line="360" w:lineRule="auto"/>
              <w:jc w:val="center"/>
              <w:rPr>
                <w:rFonts w:hint="eastAsia" w:ascii="宋体" w:hAnsi="宋体" w:cs="宋体"/>
                <w:sz w:val="24"/>
              </w:rPr>
            </w:pPr>
            <w:r>
              <w:rPr>
                <w:rFonts w:hint="eastAsia" w:ascii="宋体" w:hAnsi="宋体" w:cs="宋体"/>
                <w:sz w:val="24"/>
              </w:rPr>
              <w:t>售后服务方案</w:t>
            </w:r>
          </w:p>
          <w:p w14:paraId="1F641BF9">
            <w:pPr>
              <w:spacing w:line="360" w:lineRule="auto"/>
              <w:jc w:val="center"/>
              <w:rPr>
                <w:rFonts w:hint="eastAsia" w:ascii="宋体" w:hAnsi="宋体" w:cs="宋体"/>
                <w:color w:val="000000"/>
                <w:sz w:val="24"/>
              </w:rPr>
            </w:pPr>
            <w:r>
              <w:rPr>
                <w:rFonts w:hint="eastAsia" w:ascii="宋体" w:hAnsi="宋体" w:cs="宋体"/>
                <w:sz w:val="24"/>
              </w:rPr>
              <w:t>（满分11分）</w:t>
            </w:r>
          </w:p>
        </w:tc>
        <w:tc>
          <w:tcPr>
            <w:tcW w:w="5534" w:type="dxa"/>
            <w:gridSpan w:val="2"/>
            <w:vAlign w:val="center"/>
          </w:tcPr>
          <w:p w14:paraId="5E91E5BD">
            <w:pPr>
              <w:spacing w:line="360" w:lineRule="auto"/>
              <w:rPr>
                <w:rFonts w:hint="eastAsia" w:ascii="宋体" w:hAnsi="宋体" w:cs="宋体"/>
                <w:sz w:val="24"/>
              </w:rPr>
            </w:pPr>
            <w:r>
              <w:rPr>
                <w:rFonts w:hint="eastAsia" w:ascii="宋体" w:hAnsi="宋体" w:cs="宋体"/>
                <w:sz w:val="24"/>
              </w:rPr>
              <w:t>根据投标人提供的售后服务方案进行评审，包括但不限于：</w:t>
            </w:r>
          </w:p>
          <w:p w14:paraId="1E276C0A">
            <w:pPr>
              <w:spacing w:line="360" w:lineRule="auto"/>
              <w:rPr>
                <w:rFonts w:hint="eastAsia" w:ascii="宋体" w:hAnsi="宋体" w:cs="宋体"/>
                <w:b/>
                <w:bCs/>
                <w:sz w:val="24"/>
              </w:rPr>
            </w:pPr>
            <w:r>
              <w:rPr>
                <w:rFonts w:hint="eastAsia" w:ascii="宋体" w:hAnsi="宋体" w:cs="宋体"/>
                <w:b/>
                <w:bCs/>
                <w:sz w:val="24"/>
              </w:rPr>
              <w:t>（1）质保期内售后服务方案（包括：维修政策承诺情况、维修服务响应时限、巡检维护周期、巡检计划内容、问题诊断及故障排除、售后服务技术人员的配备情况、培训方案（提供音视频频资料或纸质培训资料）；（2）质保期外售后服务方案（包括：维修政策承诺情况、维修服务响应时限、巡检维护周期、巡检计划内容、问题诊断及故障排除、售后服务技术人员的配备情况）；（3）相对应的惩处措施。</w:t>
            </w:r>
          </w:p>
          <w:p w14:paraId="69687015">
            <w:pPr>
              <w:spacing w:line="360" w:lineRule="auto"/>
              <w:rPr>
                <w:rFonts w:hint="eastAsia" w:ascii="宋体" w:hAnsi="宋体" w:cs="宋体"/>
                <w:sz w:val="24"/>
              </w:rPr>
            </w:pPr>
            <w:r>
              <w:rPr>
                <w:rFonts w:hint="eastAsia" w:ascii="宋体" w:hAnsi="宋体" w:cs="宋体"/>
                <w:sz w:val="24"/>
              </w:rPr>
              <w:t>①售后服务方案及承诺完整、表述清晰、有针对性、完全贴合项目需求的得满分11分；</w:t>
            </w:r>
          </w:p>
          <w:p w14:paraId="66A0B529">
            <w:pPr>
              <w:spacing w:line="360" w:lineRule="auto"/>
              <w:rPr>
                <w:rFonts w:hint="eastAsia" w:ascii="宋体" w:hAnsi="宋体" w:cs="宋体"/>
                <w:sz w:val="24"/>
              </w:rPr>
            </w:pPr>
            <w:r>
              <w:rPr>
                <w:rFonts w:hint="eastAsia" w:ascii="宋体" w:hAnsi="宋体" w:cs="宋体"/>
                <w:sz w:val="24"/>
              </w:rPr>
              <w:t>②以上“（1）、（2）、（3）”三项内容中缺少“（1）、（2）”任意一项扣4分，缺少“（3）”扣3分。</w:t>
            </w:r>
          </w:p>
          <w:p w14:paraId="3E52D670">
            <w:pPr>
              <w:spacing w:line="360" w:lineRule="auto"/>
              <w:rPr>
                <w:rFonts w:hint="eastAsia" w:ascii="宋体" w:hAnsi="宋体" w:cs="宋体"/>
                <w:sz w:val="24"/>
              </w:rPr>
            </w:pPr>
            <w:r>
              <w:rPr>
                <w:rFonts w:hint="eastAsia" w:ascii="宋体" w:hAnsi="宋体" w:cs="宋体"/>
                <w:sz w:val="24"/>
              </w:rPr>
              <w:t>③以上任意一项内容每有一处描述缺陷的扣1分，以上内容涉及到的描述缺陷是指</w:t>
            </w:r>
            <w:r>
              <w:rPr>
                <w:rFonts w:hint="eastAsia" w:ascii="宋体" w:hAnsi="宋体" w:cs="宋体"/>
                <w:b/>
                <w:bCs/>
                <w:sz w:val="24"/>
              </w:rPr>
              <w:t>：</w:t>
            </w:r>
            <w:r>
              <w:rPr>
                <w:rFonts w:hint="eastAsia" w:ascii="宋体" w:hAnsi="宋体" w:cs="宋体"/>
                <w:sz w:val="24"/>
              </w:rPr>
              <w:t>内容无针对性，不全面、不清晰、无可行性，内容与实际情况不匹配、不符合项目特点或无法达到预期效果、不适用于本项目、内容不符合相关规范要求、内容与本项目无关等任意一种情形。</w:t>
            </w:r>
          </w:p>
          <w:p w14:paraId="0AF959C9">
            <w:pPr>
              <w:spacing w:line="360" w:lineRule="auto"/>
              <w:rPr>
                <w:rFonts w:hint="eastAsia" w:ascii="宋体" w:hAnsi="宋体" w:cs="宋体"/>
                <w:b/>
                <w:bCs/>
                <w:color w:val="000000"/>
                <w:sz w:val="24"/>
              </w:rPr>
            </w:pPr>
            <w:r>
              <w:rPr>
                <w:rFonts w:hint="eastAsia" w:ascii="宋体" w:hAnsi="宋体" w:cs="宋体"/>
                <w:b/>
                <w:bCs/>
                <w:sz w:val="24"/>
              </w:rPr>
              <w:t>注</w:t>
            </w:r>
            <w:r>
              <w:rPr>
                <w:rFonts w:hint="eastAsia" w:ascii="宋体" w:hAnsi="宋体" w:cs="宋体"/>
                <w:sz w:val="24"/>
              </w:rPr>
              <w:t>：②③条款不重复扣分，扣完为止。</w:t>
            </w:r>
          </w:p>
        </w:tc>
      </w:tr>
      <w:tr w14:paraId="27498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952" w:type="dxa"/>
            <w:vMerge w:val="restart"/>
            <w:vAlign w:val="center"/>
          </w:tcPr>
          <w:p w14:paraId="72DCC7B5">
            <w:pPr>
              <w:spacing w:line="360" w:lineRule="auto"/>
              <w:jc w:val="center"/>
              <w:rPr>
                <w:rFonts w:hint="eastAsia" w:ascii="宋体" w:hAnsi="宋体" w:cs="宋体"/>
                <w:sz w:val="24"/>
              </w:rPr>
            </w:pPr>
          </w:p>
        </w:tc>
        <w:tc>
          <w:tcPr>
            <w:tcW w:w="1282" w:type="dxa"/>
            <w:gridSpan w:val="2"/>
            <w:vAlign w:val="center"/>
          </w:tcPr>
          <w:p w14:paraId="1AE663FE">
            <w:pPr>
              <w:spacing w:line="360" w:lineRule="auto"/>
              <w:jc w:val="center"/>
              <w:rPr>
                <w:rFonts w:hint="eastAsia" w:ascii="宋体" w:hAnsi="宋体" w:cs="宋体"/>
                <w:sz w:val="24"/>
              </w:rPr>
            </w:pPr>
          </w:p>
        </w:tc>
        <w:tc>
          <w:tcPr>
            <w:tcW w:w="1872" w:type="dxa"/>
            <w:vAlign w:val="center"/>
          </w:tcPr>
          <w:p w14:paraId="1396B6DB">
            <w:pPr>
              <w:spacing w:line="360" w:lineRule="auto"/>
              <w:jc w:val="center"/>
              <w:rPr>
                <w:rFonts w:hint="eastAsia" w:ascii="宋体" w:hAnsi="宋体" w:cs="宋体"/>
                <w:sz w:val="24"/>
              </w:rPr>
            </w:pPr>
            <w:r>
              <w:rPr>
                <w:rFonts w:hint="eastAsia" w:ascii="宋体" w:hAnsi="宋体" w:cs="宋体"/>
                <w:sz w:val="24"/>
              </w:rPr>
              <w:t>投标人业绩</w:t>
            </w:r>
          </w:p>
          <w:p w14:paraId="17F1B026">
            <w:pPr>
              <w:spacing w:line="360" w:lineRule="auto"/>
              <w:rPr>
                <w:rFonts w:hint="eastAsia" w:ascii="宋体" w:hAnsi="宋体" w:cs="宋体"/>
                <w:sz w:val="24"/>
              </w:rPr>
            </w:pPr>
            <w:r>
              <w:rPr>
                <w:rFonts w:hint="eastAsia" w:ascii="宋体" w:hAnsi="宋体" w:cs="宋体"/>
                <w:sz w:val="24"/>
              </w:rPr>
              <w:t>（满分3分）</w:t>
            </w:r>
          </w:p>
        </w:tc>
        <w:tc>
          <w:tcPr>
            <w:tcW w:w="5534" w:type="dxa"/>
            <w:gridSpan w:val="2"/>
            <w:vAlign w:val="center"/>
          </w:tcPr>
          <w:p w14:paraId="2DFF6B50">
            <w:pPr>
              <w:spacing w:line="360" w:lineRule="auto"/>
              <w:rPr>
                <w:rFonts w:hint="eastAsia" w:ascii="宋体" w:hAnsi="宋体" w:cs="宋体"/>
                <w:sz w:val="24"/>
              </w:rPr>
            </w:pPr>
            <w:r>
              <w:rPr>
                <w:rFonts w:hint="eastAsia" w:ascii="宋体" w:hAnsi="宋体" w:cs="宋体"/>
                <w:sz w:val="24"/>
              </w:rPr>
              <w:t>投标人或者设备生产厂家每提供一份近年类似项目业绩证明材料的得1.5分，满分3分。</w:t>
            </w:r>
          </w:p>
          <w:p w14:paraId="3AC496CF">
            <w:pPr>
              <w:spacing w:line="360" w:lineRule="auto"/>
              <w:rPr>
                <w:rFonts w:hint="eastAsia" w:ascii="宋体" w:hAnsi="宋体" w:cs="宋体"/>
                <w:sz w:val="24"/>
              </w:rPr>
            </w:pPr>
            <w:r>
              <w:rPr>
                <w:rFonts w:hint="eastAsia" w:ascii="宋体" w:hAnsi="宋体" w:cs="宋体"/>
                <w:sz w:val="24"/>
              </w:rPr>
              <w:t>备注：</w:t>
            </w:r>
          </w:p>
          <w:p w14:paraId="22DA4643">
            <w:pPr>
              <w:spacing w:line="360" w:lineRule="auto"/>
              <w:rPr>
                <w:rFonts w:hint="eastAsia" w:ascii="宋体" w:hAnsi="宋体" w:cs="宋体"/>
                <w:b/>
                <w:bCs/>
                <w:sz w:val="24"/>
              </w:rPr>
            </w:pPr>
            <w:r>
              <w:rPr>
                <w:rFonts w:hint="eastAsia" w:ascii="宋体" w:hAnsi="宋体" w:cs="宋体"/>
                <w:b/>
                <w:bCs/>
                <w:sz w:val="24"/>
              </w:rPr>
              <w:t>①近年指2023年1月1日至投标截止时间前（以中标通知书时间或合同签订时间为准）。</w:t>
            </w:r>
          </w:p>
          <w:p w14:paraId="2AC6419F">
            <w:pPr>
              <w:spacing w:line="360" w:lineRule="auto"/>
              <w:rPr>
                <w:rFonts w:hint="eastAsia" w:ascii="宋体" w:hAnsi="宋体" w:cs="宋体"/>
                <w:b/>
                <w:bCs/>
                <w:sz w:val="24"/>
              </w:rPr>
            </w:pPr>
            <w:r>
              <w:rPr>
                <w:rFonts w:hint="eastAsia" w:ascii="宋体" w:hAnsi="宋体" w:cs="宋体"/>
                <w:b/>
                <w:bCs/>
                <w:sz w:val="24"/>
              </w:rPr>
              <w:t>②类似业绩指含有本标段任意产品的供货业绩，金额不限；</w:t>
            </w:r>
          </w:p>
          <w:p w14:paraId="12D03CF8">
            <w:pPr>
              <w:spacing w:line="360" w:lineRule="auto"/>
              <w:rPr>
                <w:rFonts w:hint="eastAsia" w:ascii="宋体" w:hAnsi="宋体" w:cs="宋体"/>
                <w:b/>
                <w:bCs/>
                <w:sz w:val="24"/>
              </w:rPr>
            </w:pPr>
            <w:r>
              <w:rPr>
                <w:rFonts w:hint="eastAsia" w:ascii="宋体" w:hAnsi="宋体" w:cs="宋体"/>
                <w:b/>
                <w:bCs/>
                <w:sz w:val="24"/>
              </w:rPr>
              <w:t>③业绩证明材料可为中标（成交）通知书或合同（合同首页、关键信息页、标的及金额所在页及合同签字盖章页）原件扫描件。</w:t>
            </w:r>
          </w:p>
          <w:p w14:paraId="59BF9F27">
            <w:pPr>
              <w:spacing w:line="360" w:lineRule="auto"/>
              <w:rPr>
                <w:rFonts w:hint="eastAsia" w:ascii="宋体" w:hAnsi="宋体" w:cs="宋体"/>
                <w:sz w:val="24"/>
              </w:rPr>
            </w:pPr>
            <w:r>
              <w:rPr>
                <w:rFonts w:hint="eastAsia" w:ascii="宋体" w:hAnsi="宋体" w:cs="宋体"/>
                <w:b/>
                <w:bCs/>
                <w:sz w:val="24"/>
              </w:rPr>
              <w:t>④无证明材料或证明材料不齐全、无法体现业绩内容的，不得分。</w:t>
            </w:r>
          </w:p>
        </w:tc>
      </w:tr>
      <w:tr w14:paraId="7DF8D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952" w:type="dxa"/>
            <w:vMerge w:val="continue"/>
            <w:vAlign w:val="center"/>
          </w:tcPr>
          <w:p w14:paraId="4B33FBB4">
            <w:pPr>
              <w:spacing w:line="360" w:lineRule="auto"/>
              <w:jc w:val="center"/>
              <w:rPr>
                <w:rFonts w:hint="eastAsia" w:ascii="宋体" w:hAnsi="宋体" w:cs="宋体"/>
                <w:sz w:val="24"/>
              </w:rPr>
            </w:pPr>
          </w:p>
        </w:tc>
        <w:tc>
          <w:tcPr>
            <w:tcW w:w="1282" w:type="dxa"/>
            <w:gridSpan w:val="2"/>
            <w:vMerge w:val="restart"/>
            <w:vAlign w:val="center"/>
          </w:tcPr>
          <w:p w14:paraId="244C0F45">
            <w:pPr>
              <w:spacing w:line="360" w:lineRule="auto"/>
              <w:jc w:val="center"/>
              <w:rPr>
                <w:rFonts w:hint="eastAsia" w:ascii="宋体" w:hAnsi="宋体" w:cs="宋体"/>
                <w:sz w:val="24"/>
              </w:rPr>
            </w:pPr>
          </w:p>
        </w:tc>
        <w:tc>
          <w:tcPr>
            <w:tcW w:w="1872" w:type="dxa"/>
            <w:vAlign w:val="center"/>
          </w:tcPr>
          <w:p w14:paraId="14F28C9B">
            <w:pPr>
              <w:spacing w:line="360" w:lineRule="auto"/>
              <w:jc w:val="center"/>
              <w:rPr>
                <w:rFonts w:hint="eastAsia" w:ascii="宋体" w:hAnsi="宋体" w:cs="宋体"/>
                <w:sz w:val="24"/>
              </w:rPr>
            </w:pPr>
            <w:r>
              <w:rPr>
                <w:rFonts w:hint="eastAsia" w:ascii="宋体" w:hAnsi="宋体" w:cs="宋体"/>
                <w:sz w:val="24"/>
              </w:rPr>
              <w:t>节能产品</w:t>
            </w:r>
          </w:p>
          <w:p w14:paraId="3808D52D">
            <w:pPr>
              <w:spacing w:line="360" w:lineRule="auto"/>
              <w:jc w:val="center"/>
              <w:rPr>
                <w:rFonts w:hint="eastAsia" w:ascii="宋体" w:hAnsi="宋体" w:cs="宋体"/>
                <w:sz w:val="24"/>
              </w:rPr>
            </w:pPr>
            <w:r>
              <w:rPr>
                <w:rFonts w:hint="eastAsia" w:ascii="宋体" w:hAnsi="宋体" w:cs="宋体"/>
                <w:sz w:val="24"/>
              </w:rPr>
              <w:t>（满分0.5分）</w:t>
            </w:r>
          </w:p>
        </w:tc>
        <w:tc>
          <w:tcPr>
            <w:tcW w:w="5534" w:type="dxa"/>
            <w:gridSpan w:val="2"/>
            <w:vAlign w:val="center"/>
          </w:tcPr>
          <w:p w14:paraId="45E6E209">
            <w:pPr>
              <w:spacing w:line="360" w:lineRule="auto"/>
              <w:jc w:val="left"/>
              <w:rPr>
                <w:rFonts w:hint="eastAsia" w:ascii="宋体" w:hAnsi="宋体" w:cs="宋体"/>
                <w:sz w:val="24"/>
                <w:lang w:val="zh-TW" w:eastAsia="zh-TW"/>
              </w:rPr>
            </w:pPr>
            <w:r>
              <w:rPr>
                <w:rFonts w:hint="eastAsia" w:ascii="宋体" w:hAnsi="宋体" w:cs="宋体"/>
                <w:sz w:val="24"/>
              </w:rPr>
              <w:t>投标</w:t>
            </w:r>
            <w:r>
              <w:rPr>
                <w:rFonts w:hint="eastAsia" w:ascii="宋体" w:hAnsi="宋体" w:cs="宋体"/>
                <w:sz w:val="24"/>
                <w:lang w:val="zh-TW" w:eastAsia="zh-TW"/>
              </w:rPr>
              <w:t>产品中</w:t>
            </w:r>
            <w:r>
              <w:rPr>
                <w:rFonts w:hint="eastAsia" w:ascii="宋体" w:hAnsi="宋体" w:cs="宋体"/>
                <w:sz w:val="24"/>
              </w:rPr>
              <w:t>任意一个产品具有</w:t>
            </w:r>
            <w:r>
              <w:rPr>
                <w:rFonts w:hint="eastAsia" w:ascii="宋体" w:hAnsi="宋体" w:cs="宋体"/>
                <w:sz w:val="24"/>
                <w:lang w:val="zh-TW" w:eastAsia="zh-TW"/>
              </w:rPr>
              <w:t>节能产品认证的</w:t>
            </w:r>
            <w:r>
              <w:rPr>
                <w:rFonts w:hint="eastAsia" w:ascii="宋体" w:hAnsi="宋体" w:cs="宋体"/>
                <w:sz w:val="24"/>
              </w:rPr>
              <w:t>得0.5</w:t>
            </w:r>
            <w:r>
              <w:rPr>
                <w:rFonts w:hint="eastAsia" w:ascii="宋体" w:hAnsi="宋体" w:cs="宋体"/>
                <w:sz w:val="24"/>
                <w:lang w:val="zh-TW" w:eastAsia="zh-TW"/>
              </w:rPr>
              <w:t>分</w:t>
            </w:r>
            <w:r>
              <w:rPr>
                <w:rFonts w:hint="eastAsia" w:ascii="宋体" w:hAnsi="宋体" w:cs="宋体"/>
                <w:sz w:val="24"/>
                <w:lang w:val="zh-TW"/>
              </w:rPr>
              <w:t>，</w:t>
            </w:r>
            <w:r>
              <w:rPr>
                <w:rFonts w:hint="eastAsia" w:ascii="宋体" w:hAnsi="宋体" w:cs="宋体"/>
                <w:sz w:val="24"/>
              </w:rPr>
              <w:t>未提供的</w:t>
            </w:r>
            <w:r>
              <w:rPr>
                <w:rFonts w:hint="eastAsia" w:ascii="宋体" w:hAnsi="宋体" w:cs="宋体"/>
                <w:sz w:val="24"/>
                <w:lang w:val="zh-TW" w:eastAsia="zh-TW"/>
              </w:rPr>
              <w:t>不得分。</w:t>
            </w:r>
          </w:p>
          <w:p w14:paraId="457A4012">
            <w:pPr>
              <w:spacing w:line="360" w:lineRule="auto"/>
              <w:jc w:val="center"/>
              <w:rPr>
                <w:rFonts w:hint="eastAsia" w:ascii="宋体" w:hAnsi="宋体" w:cs="宋体"/>
                <w:sz w:val="24"/>
              </w:rPr>
            </w:pPr>
            <w:r>
              <w:rPr>
                <w:rFonts w:hint="eastAsia" w:ascii="宋体" w:hAnsi="宋体" w:cs="宋体"/>
                <w:b/>
                <w:bCs/>
                <w:sz w:val="24"/>
              </w:rPr>
              <w:t>备</w:t>
            </w:r>
            <w:r>
              <w:rPr>
                <w:rFonts w:hint="eastAsia" w:ascii="宋体" w:hAnsi="宋体" w:cs="宋体"/>
                <w:b/>
                <w:bCs/>
                <w:sz w:val="24"/>
                <w:lang w:val="zh-TW" w:eastAsia="zh-TW"/>
              </w:rPr>
              <w:t>注：</w:t>
            </w:r>
            <w:r>
              <w:rPr>
                <w:rFonts w:hint="eastAsia" w:ascii="宋体" w:hAnsi="宋体" w:cs="宋体"/>
                <w:b/>
                <w:bCs/>
                <w:sz w:val="24"/>
              </w:rPr>
              <w:t>投标产品属于优先采购范围内的节能产品的，提供国家确定的认证机构出具的、处于有效期之内的节能产品认证证书（扫描件加盖电子签章）</w:t>
            </w:r>
            <w:r>
              <w:rPr>
                <w:rFonts w:hint="eastAsia" w:ascii="宋体" w:hAnsi="宋体" w:cs="宋体"/>
                <w:sz w:val="24"/>
              </w:rPr>
              <w:t>。</w:t>
            </w:r>
          </w:p>
        </w:tc>
      </w:tr>
      <w:tr w14:paraId="56BD7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952" w:type="dxa"/>
            <w:vMerge w:val="continue"/>
            <w:vAlign w:val="center"/>
          </w:tcPr>
          <w:p w14:paraId="4DD0CAE2">
            <w:pPr>
              <w:spacing w:line="360" w:lineRule="auto"/>
              <w:jc w:val="center"/>
              <w:rPr>
                <w:rFonts w:hint="eastAsia" w:ascii="宋体" w:hAnsi="宋体" w:cs="宋体"/>
                <w:sz w:val="24"/>
              </w:rPr>
            </w:pPr>
          </w:p>
        </w:tc>
        <w:tc>
          <w:tcPr>
            <w:tcW w:w="1282" w:type="dxa"/>
            <w:gridSpan w:val="2"/>
            <w:vMerge w:val="continue"/>
            <w:vAlign w:val="center"/>
          </w:tcPr>
          <w:p w14:paraId="5E0419F0">
            <w:pPr>
              <w:spacing w:line="360" w:lineRule="auto"/>
              <w:jc w:val="center"/>
              <w:rPr>
                <w:rFonts w:hint="eastAsia" w:ascii="宋体" w:hAnsi="宋体" w:cs="宋体"/>
                <w:sz w:val="24"/>
              </w:rPr>
            </w:pPr>
          </w:p>
        </w:tc>
        <w:tc>
          <w:tcPr>
            <w:tcW w:w="1872" w:type="dxa"/>
            <w:vAlign w:val="center"/>
          </w:tcPr>
          <w:p w14:paraId="5E640439">
            <w:pPr>
              <w:spacing w:line="360" w:lineRule="auto"/>
              <w:jc w:val="center"/>
              <w:rPr>
                <w:rFonts w:hint="eastAsia" w:ascii="宋体" w:hAnsi="宋体" w:cs="宋体"/>
                <w:sz w:val="24"/>
              </w:rPr>
            </w:pPr>
            <w:r>
              <w:rPr>
                <w:rFonts w:hint="eastAsia" w:ascii="宋体" w:hAnsi="宋体" w:cs="宋体"/>
                <w:sz w:val="24"/>
              </w:rPr>
              <w:t>环境标志产品（满分0.5分）</w:t>
            </w:r>
          </w:p>
        </w:tc>
        <w:tc>
          <w:tcPr>
            <w:tcW w:w="5534" w:type="dxa"/>
            <w:gridSpan w:val="2"/>
            <w:vAlign w:val="center"/>
          </w:tcPr>
          <w:p w14:paraId="3E02D819">
            <w:pPr>
              <w:spacing w:line="360" w:lineRule="auto"/>
              <w:jc w:val="left"/>
              <w:rPr>
                <w:rFonts w:hint="eastAsia" w:ascii="宋体" w:hAnsi="宋体" w:cs="宋体"/>
                <w:sz w:val="24"/>
                <w:lang w:val="zh-TW" w:eastAsia="zh-TW"/>
              </w:rPr>
            </w:pPr>
            <w:r>
              <w:rPr>
                <w:rFonts w:hint="eastAsia" w:ascii="宋体" w:hAnsi="宋体" w:cs="宋体"/>
                <w:sz w:val="24"/>
              </w:rPr>
              <w:t>投标</w:t>
            </w:r>
            <w:r>
              <w:rPr>
                <w:rFonts w:hint="eastAsia" w:ascii="宋体" w:hAnsi="宋体" w:cs="宋体"/>
                <w:sz w:val="24"/>
                <w:lang w:val="zh-TW" w:eastAsia="zh-TW"/>
              </w:rPr>
              <w:t>产品中</w:t>
            </w:r>
            <w:r>
              <w:rPr>
                <w:rFonts w:hint="eastAsia" w:ascii="宋体" w:hAnsi="宋体" w:cs="宋体"/>
                <w:sz w:val="24"/>
              </w:rPr>
              <w:t>任意一个产品具有</w:t>
            </w:r>
            <w:r>
              <w:rPr>
                <w:rFonts w:hint="eastAsia" w:ascii="宋体" w:hAnsi="宋体" w:cs="宋体"/>
                <w:sz w:val="24"/>
                <w:lang w:val="zh-TW" w:eastAsia="zh-TW"/>
              </w:rPr>
              <w:t>环境标志产品认证的</w:t>
            </w:r>
            <w:r>
              <w:rPr>
                <w:rFonts w:hint="eastAsia" w:ascii="宋体" w:hAnsi="宋体" w:cs="宋体"/>
                <w:sz w:val="24"/>
              </w:rPr>
              <w:t>得0.5</w:t>
            </w:r>
            <w:r>
              <w:rPr>
                <w:rFonts w:hint="eastAsia" w:ascii="宋体" w:hAnsi="宋体" w:cs="宋体"/>
                <w:sz w:val="24"/>
                <w:lang w:val="zh-TW" w:eastAsia="zh-TW"/>
              </w:rPr>
              <w:t>分</w:t>
            </w:r>
            <w:r>
              <w:rPr>
                <w:rFonts w:hint="eastAsia" w:ascii="宋体" w:hAnsi="宋体" w:cs="宋体"/>
                <w:sz w:val="24"/>
                <w:lang w:val="zh-TW"/>
              </w:rPr>
              <w:t>，</w:t>
            </w:r>
            <w:r>
              <w:rPr>
                <w:rFonts w:hint="eastAsia" w:ascii="宋体" w:hAnsi="宋体" w:cs="宋体"/>
                <w:sz w:val="24"/>
              </w:rPr>
              <w:t>未提供的</w:t>
            </w:r>
            <w:r>
              <w:rPr>
                <w:rFonts w:hint="eastAsia" w:ascii="宋体" w:hAnsi="宋体" w:cs="宋体"/>
                <w:sz w:val="24"/>
                <w:lang w:val="zh-TW" w:eastAsia="zh-TW"/>
              </w:rPr>
              <w:t>不得分。</w:t>
            </w:r>
          </w:p>
          <w:p w14:paraId="0E29054F">
            <w:pPr>
              <w:spacing w:line="360" w:lineRule="auto"/>
              <w:jc w:val="left"/>
              <w:rPr>
                <w:rFonts w:hint="eastAsia" w:ascii="宋体" w:hAnsi="宋体" w:cs="宋体"/>
                <w:sz w:val="24"/>
              </w:rPr>
            </w:pPr>
            <w:r>
              <w:rPr>
                <w:rFonts w:hint="eastAsia" w:ascii="宋体" w:hAnsi="宋体" w:cs="宋体"/>
                <w:b/>
                <w:bCs/>
                <w:sz w:val="24"/>
              </w:rPr>
              <w:t>备</w:t>
            </w:r>
            <w:r>
              <w:rPr>
                <w:rFonts w:hint="eastAsia" w:ascii="宋体" w:hAnsi="宋体" w:cs="宋体"/>
                <w:b/>
                <w:bCs/>
                <w:sz w:val="24"/>
                <w:lang w:val="zh-TW" w:eastAsia="zh-TW"/>
              </w:rPr>
              <w:t>注：</w:t>
            </w:r>
            <w:r>
              <w:rPr>
                <w:rFonts w:hint="eastAsia" w:ascii="宋体" w:hAnsi="宋体" w:cs="宋体"/>
                <w:b/>
                <w:bCs/>
                <w:sz w:val="24"/>
              </w:rPr>
              <w:t>投标产品属于优先采购范围内的环境标志产品的，提供国家确定的认证机构出具的、处于有效期之内的环境标志产品认证证书（扫描件加盖电子签章）。</w:t>
            </w:r>
          </w:p>
        </w:tc>
      </w:tr>
    </w:tbl>
    <w:p w14:paraId="3D02F51E">
      <w:pPr>
        <w:spacing w:line="360" w:lineRule="auto"/>
        <w:rPr>
          <w:rFonts w:hint="eastAsia" w:ascii="宋体" w:hAnsi="宋体" w:cs="宋体"/>
          <w:b/>
          <w:bCs/>
          <w:sz w:val="28"/>
          <w:szCs w:val="28"/>
        </w:rPr>
      </w:pPr>
    </w:p>
    <w:p w14:paraId="358260C8">
      <w:pPr>
        <w:spacing w:line="360" w:lineRule="auto"/>
      </w:pPr>
      <w:r>
        <w:rPr>
          <w:rFonts w:hint="eastAsia" w:ascii="宋体" w:hAnsi="宋体" w:cs="宋体"/>
          <w:b/>
          <w:bCs/>
          <w:sz w:val="28"/>
          <w:szCs w:val="28"/>
        </w:rPr>
        <w:br w:type="page"/>
      </w:r>
    </w:p>
    <w:p w14:paraId="65C7AD2C">
      <w:pPr>
        <w:spacing w:line="360" w:lineRule="auto"/>
        <w:jc w:val="center"/>
        <w:rPr>
          <w:rFonts w:hint="eastAsia" w:ascii="宋体" w:hAnsi="宋体" w:cs="宋体"/>
          <w:b/>
          <w:bCs/>
          <w:sz w:val="28"/>
          <w:szCs w:val="28"/>
        </w:rPr>
      </w:pPr>
      <w:r>
        <w:rPr>
          <w:rFonts w:hint="eastAsia" w:ascii="宋体" w:hAnsi="宋体" w:cs="宋体"/>
          <w:b/>
          <w:bCs/>
          <w:sz w:val="28"/>
          <w:szCs w:val="28"/>
        </w:rPr>
        <w:t>评标方法及标准</w:t>
      </w:r>
    </w:p>
    <w:p w14:paraId="384B6CFE">
      <w:pPr>
        <w:spacing w:line="360" w:lineRule="auto"/>
        <w:rPr>
          <w:rFonts w:hint="eastAsia" w:ascii="宋体" w:hAnsi="宋体" w:cs="宋体"/>
          <w:b/>
          <w:bCs/>
          <w:sz w:val="24"/>
        </w:rPr>
      </w:pPr>
      <w:r>
        <w:rPr>
          <w:rFonts w:hint="eastAsia" w:ascii="宋体" w:hAnsi="宋体" w:cs="宋体"/>
          <w:b/>
          <w:bCs/>
          <w:sz w:val="24"/>
        </w:rPr>
        <w:t>1.评标方法</w:t>
      </w:r>
    </w:p>
    <w:p w14:paraId="40A1175A">
      <w:pPr>
        <w:pStyle w:val="13"/>
        <w:tabs>
          <w:tab w:val="left" w:pos="540"/>
        </w:tabs>
        <w:adjustRightInd w:val="0"/>
        <w:spacing w:after="0" w:line="360" w:lineRule="auto"/>
        <w:ind w:left="0" w:leftChars="0" w:firstLine="482" w:firstLineChars="200"/>
        <w:rPr>
          <w:rFonts w:hint="eastAsia" w:ascii="宋体" w:hAnsi="宋体" w:cs="宋体"/>
          <w:sz w:val="24"/>
        </w:rPr>
      </w:pPr>
      <w:r>
        <w:rPr>
          <w:rFonts w:hint="eastAsia" w:ascii="宋体" w:hAnsi="宋体" w:cs="宋体"/>
          <w:b/>
          <w:bCs/>
          <w:sz w:val="24"/>
        </w:rPr>
        <w:t>1.1本次评标采用综合评分法。</w:t>
      </w:r>
      <w:r>
        <w:rPr>
          <w:rFonts w:hint="eastAsia" w:ascii="宋体" w:hAnsi="宋体" w:cs="宋体"/>
          <w:sz w:val="24"/>
        </w:rPr>
        <w:t>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7F09B1AE">
      <w:pPr>
        <w:pStyle w:val="13"/>
        <w:tabs>
          <w:tab w:val="left" w:pos="540"/>
        </w:tabs>
        <w:adjustRightInd w:val="0"/>
        <w:spacing w:after="0" w:line="360" w:lineRule="auto"/>
        <w:ind w:left="0" w:leftChars="0" w:firstLine="482" w:firstLineChars="200"/>
        <w:rPr>
          <w:rFonts w:hint="eastAsia" w:ascii="宋体" w:hAnsi="宋体" w:cs="宋体"/>
          <w:b/>
          <w:bCs/>
          <w:sz w:val="24"/>
        </w:rPr>
      </w:pPr>
      <w:r>
        <w:rPr>
          <w:rFonts w:hint="eastAsia" w:ascii="宋体" w:hAnsi="宋体" w:cs="宋体"/>
          <w:b/>
          <w:bCs/>
          <w:sz w:val="24"/>
        </w:rPr>
        <w:t>若提供相同品牌产品（核心产品）的不同投标人参加同一合同项下投标的，根据《政府采购货物和服务招标投标管理办法中华人民共和国财政部令第87号》 第三十一条规定执行：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31F2662F">
      <w:pPr>
        <w:pStyle w:val="13"/>
        <w:tabs>
          <w:tab w:val="left" w:pos="540"/>
        </w:tabs>
        <w:adjustRightInd w:val="0"/>
        <w:spacing w:after="0" w:line="360" w:lineRule="auto"/>
        <w:ind w:left="0" w:leftChars="0"/>
        <w:rPr>
          <w:rFonts w:hint="eastAsia" w:ascii="宋体" w:hAnsi="宋体" w:cs="宋体"/>
          <w:b/>
          <w:bCs/>
          <w:sz w:val="24"/>
        </w:rPr>
      </w:pPr>
      <w:bookmarkStart w:id="126" w:name="_Toc321836409"/>
      <w:r>
        <w:rPr>
          <w:rFonts w:hint="eastAsia" w:ascii="宋体" w:hAnsi="宋体" w:cs="宋体"/>
          <w:b/>
          <w:bCs/>
          <w:sz w:val="24"/>
        </w:rPr>
        <w:t>2.评审标准</w:t>
      </w:r>
    </w:p>
    <w:p w14:paraId="3B46EA39">
      <w:pPr>
        <w:pStyle w:val="12"/>
        <w:tabs>
          <w:tab w:val="left" w:pos="2472"/>
        </w:tabs>
        <w:spacing w:line="360" w:lineRule="auto"/>
        <w:ind w:firstLine="480" w:firstLineChars="200"/>
        <w:rPr>
          <w:rFonts w:hint="eastAsia" w:hAnsi="宋体" w:cs="宋体"/>
          <w:sz w:val="24"/>
          <w:szCs w:val="24"/>
        </w:rPr>
      </w:pPr>
      <w:r>
        <w:rPr>
          <w:rFonts w:hint="eastAsia" w:hAnsi="宋体" w:cs="宋体"/>
          <w:sz w:val="24"/>
          <w:szCs w:val="24"/>
        </w:rPr>
        <w:t>2.1资格评审标准：见评标方法前附表；</w:t>
      </w:r>
    </w:p>
    <w:p w14:paraId="2A945BAF">
      <w:pPr>
        <w:pStyle w:val="12"/>
        <w:tabs>
          <w:tab w:val="left" w:pos="2472"/>
        </w:tabs>
        <w:spacing w:line="360" w:lineRule="auto"/>
        <w:ind w:firstLine="480" w:firstLineChars="200"/>
        <w:rPr>
          <w:rFonts w:hint="eastAsia" w:hAnsi="宋体" w:cs="宋体"/>
          <w:sz w:val="24"/>
          <w:szCs w:val="24"/>
        </w:rPr>
      </w:pPr>
      <w:r>
        <w:rPr>
          <w:rFonts w:hint="eastAsia" w:hAnsi="宋体" w:cs="宋体"/>
          <w:sz w:val="24"/>
          <w:szCs w:val="24"/>
        </w:rPr>
        <w:t>2.2符合性评审标准：见评标方法前附表；</w:t>
      </w:r>
    </w:p>
    <w:p w14:paraId="188E0D49">
      <w:pPr>
        <w:pStyle w:val="12"/>
        <w:tabs>
          <w:tab w:val="left" w:pos="2472"/>
        </w:tabs>
        <w:spacing w:line="360" w:lineRule="auto"/>
        <w:ind w:firstLine="480" w:firstLineChars="200"/>
        <w:rPr>
          <w:rFonts w:hint="eastAsia" w:hAnsi="宋体" w:cs="宋体"/>
          <w:sz w:val="24"/>
          <w:szCs w:val="24"/>
        </w:rPr>
      </w:pPr>
      <w:bookmarkStart w:id="127" w:name="_Toc321836408"/>
      <w:r>
        <w:rPr>
          <w:rFonts w:hint="eastAsia" w:hAnsi="宋体" w:cs="宋体"/>
          <w:sz w:val="24"/>
          <w:szCs w:val="24"/>
        </w:rPr>
        <w:t>2.3 分值构成与评分标准</w:t>
      </w:r>
      <w:bookmarkEnd w:id="127"/>
    </w:p>
    <w:p w14:paraId="1CA072A7">
      <w:pPr>
        <w:pStyle w:val="12"/>
        <w:tabs>
          <w:tab w:val="left" w:pos="2472"/>
        </w:tabs>
        <w:spacing w:line="360" w:lineRule="auto"/>
        <w:ind w:firstLine="480" w:firstLineChars="200"/>
        <w:rPr>
          <w:rFonts w:hint="eastAsia" w:hAnsi="宋体" w:cs="宋体"/>
          <w:sz w:val="24"/>
          <w:szCs w:val="24"/>
        </w:rPr>
      </w:pPr>
      <w:r>
        <w:rPr>
          <w:rFonts w:hint="eastAsia" w:hAnsi="宋体" w:cs="宋体"/>
          <w:sz w:val="24"/>
          <w:szCs w:val="24"/>
        </w:rPr>
        <w:t>2.3.1 分值构成</w:t>
      </w:r>
    </w:p>
    <w:p w14:paraId="525B2EEF">
      <w:pPr>
        <w:pStyle w:val="12"/>
        <w:tabs>
          <w:tab w:val="left" w:pos="2472"/>
        </w:tabs>
        <w:spacing w:line="360" w:lineRule="auto"/>
        <w:ind w:firstLine="480" w:firstLineChars="200"/>
        <w:rPr>
          <w:rFonts w:hint="eastAsia" w:hAnsi="宋体" w:cs="宋体"/>
          <w:sz w:val="24"/>
          <w:szCs w:val="24"/>
        </w:rPr>
      </w:pPr>
      <w:r>
        <w:rPr>
          <w:rFonts w:hint="eastAsia" w:hAnsi="宋体" w:cs="宋体"/>
          <w:sz w:val="24"/>
          <w:szCs w:val="24"/>
        </w:rPr>
        <w:t>（1）投标报价部分：见评标方法前附表；</w:t>
      </w:r>
    </w:p>
    <w:p w14:paraId="0F245E7E">
      <w:pPr>
        <w:pStyle w:val="12"/>
        <w:tabs>
          <w:tab w:val="left" w:pos="2472"/>
        </w:tabs>
        <w:spacing w:line="360" w:lineRule="auto"/>
        <w:ind w:firstLine="480" w:firstLineChars="200"/>
        <w:rPr>
          <w:rFonts w:hint="eastAsia" w:hAnsi="宋体" w:cs="宋体"/>
          <w:sz w:val="24"/>
          <w:szCs w:val="24"/>
        </w:rPr>
      </w:pPr>
      <w:r>
        <w:rPr>
          <w:rFonts w:hint="eastAsia" w:hAnsi="宋体" w:cs="宋体"/>
          <w:sz w:val="24"/>
          <w:szCs w:val="24"/>
        </w:rPr>
        <w:t>（2）技术和商务部分：见评标方法前附表；</w:t>
      </w:r>
    </w:p>
    <w:p w14:paraId="0149CF2F">
      <w:pPr>
        <w:pStyle w:val="12"/>
        <w:tabs>
          <w:tab w:val="left" w:pos="2472"/>
        </w:tabs>
        <w:spacing w:line="360" w:lineRule="auto"/>
        <w:ind w:firstLine="480" w:firstLineChars="200"/>
        <w:rPr>
          <w:rFonts w:hint="eastAsia" w:hAnsi="宋体" w:cs="宋体"/>
          <w:sz w:val="24"/>
          <w:szCs w:val="24"/>
        </w:rPr>
      </w:pPr>
      <w:r>
        <w:rPr>
          <w:rFonts w:hint="eastAsia" w:hAnsi="宋体" w:cs="宋体"/>
          <w:sz w:val="24"/>
          <w:szCs w:val="24"/>
        </w:rPr>
        <w:t>2.3.2评分标准</w:t>
      </w:r>
    </w:p>
    <w:p w14:paraId="079DF586">
      <w:pPr>
        <w:pStyle w:val="12"/>
        <w:tabs>
          <w:tab w:val="left" w:pos="2472"/>
        </w:tabs>
        <w:spacing w:line="360" w:lineRule="auto"/>
        <w:ind w:firstLine="480" w:firstLineChars="200"/>
        <w:rPr>
          <w:rFonts w:hint="eastAsia" w:hAnsi="宋体" w:cs="宋体"/>
          <w:sz w:val="24"/>
          <w:szCs w:val="24"/>
        </w:rPr>
      </w:pPr>
      <w:r>
        <w:rPr>
          <w:rFonts w:hint="eastAsia" w:hAnsi="宋体" w:cs="宋体"/>
          <w:sz w:val="24"/>
          <w:szCs w:val="24"/>
        </w:rPr>
        <w:t>按招标文件中规定的评标方法和标准，对符合性评审通过的投标文件进行商务和技术评估，综合比较与评价。</w:t>
      </w:r>
    </w:p>
    <w:p w14:paraId="51E0D90A">
      <w:pPr>
        <w:pStyle w:val="12"/>
        <w:tabs>
          <w:tab w:val="left" w:pos="2472"/>
        </w:tabs>
        <w:spacing w:line="360" w:lineRule="auto"/>
        <w:ind w:firstLine="480" w:firstLineChars="200"/>
        <w:rPr>
          <w:rFonts w:hint="eastAsia" w:hAnsi="宋体" w:cs="宋体"/>
          <w:sz w:val="24"/>
          <w:szCs w:val="24"/>
        </w:rPr>
      </w:pPr>
      <w:r>
        <w:rPr>
          <w:rFonts w:hint="eastAsia" w:hAnsi="宋体" w:cs="宋体"/>
          <w:sz w:val="24"/>
          <w:szCs w:val="24"/>
        </w:rPr>
        <w:t>（1）投标报价部分评分标准：见评标方法前附表；</w:t>
      </w:r>
    </w:p>
    <w:p w14:paraId="39F3454A">
      <w:pPr>
        <w:pStyle w:val="12"/>
        <w:tabs>
          <w:tab w:val="left" w:pos="2472"/>
        </w:tabs>
        <w:spacing w:line="360" w:lineRule="auto"/>
        <w:ind w:firstLine="480" w:firstLineChars="200"/>
        <w:rPr>
          <w:rFonts w:hint="eastAsia" w:hAnsi="宋体" w:cs="宋体"/>
          <w:sz w:val="24"/>
          <w:szCs w:val="24"/>
        </w:rPr>
      </w:pPr>
      <w:r>
        <w:rPr>
          <w:rFonts w:hint="eastAsia" w:hAnsi="宋体" w:cs="宋体"/>
          <w:sz w:val="24"/>
          <w:szCs w:val="24"/>
        </w:rPr>
        <w:t>（2）技术和商务部分评分标准：见评标方法前附表；</w:t>
      </w:r>
    </w:p>
    <w:bookmarkEnd w:id="126"/>
    <w:p w14:paraId="44B5F236">
      <w:pPr>
        <w:pStyle w:val="5"/>
        <w:tabs>
          <w:tab w:val="left" w:pos="1588"/>
        </w:tabs>
        <w:spacing w:before="0"/>
        <w:ind w:left="0" w:firstLine="0"/>
        <w:rPr>
          <w:rFonts w:hint="eastAsia" w:ascii="宋体" w:hAnsi="宋体" w:eastAsia="宋体" w:cs="宋体"/>
          <w:sz w:val="24"/>
          <w:szCs w:val="24"/>
        </w:rPr>
      </w:pPr>
      <w:bookmarkStart w:id="128" w:name="_Toc8629"/>
      <w:bookmarkStart w:id="129" w:name="_Toc589"/>
      <w:bookmarkStart w:id="130" w:name="_Toc31737"/>
      <w:bookmarkStart w:id="131" w:name="_Toc20762"/>
      <w:bookmarkStart w:id="132" w:name="_Toc321836411"/>
      <w:r>
        <w:rPr>
          <w:rFonts w:hint="eastAsia" w:ascii="宋体" w:hAnsi="宋体" w:eastAsia="宋体" w:cs="宋体"/>
          <w:sz w:val="24"/>
          <w:szCs w:val="24"/>
        </w:rPr>
        <w:t>3. 评标程序</w:t>
      </w:r>
      <w:bookmarkEnd w:id="128"/>
      <w:bookmarkEnd w:id="129"/>
      <w:bookmarkEnd w:id="130"/>
      <w:bookmarkEnd w:id="131"/>
    </w:p>
    <w:p w14:paraId="1319E2A7">
      <w:pPr>
        <w:pStyle w:val="5"/>
        <w:tabs>
          <w:tab w:val="left" w:pos="1588"/>
        </w:tabs>
        <w:spacing w:before="0"/>
        <w:ind w:left="0" w:firstLine="482" w:firstLineChars="200"/>
        <w:rPr>
          <w:rFonts w:hint="eastAsia" w:ascii="宋体" w:hAnsi="宋体" w:eastAsia="宋体" w:cs="宋体"/>
          <w:sz w:val="24"/>
          <w:szCs w:val="24"/>
        </w:rPr>
      </w:pPr>
      <w:bookmarkStart w:id="133" w:name="_Toc18079"/>
      <w:bookmarkStart w:id="134" w:name="_Toc23515"/>
      <w:bookmarkStart w:id="135" w:name="_Toc25415"/>
      <w:bookmarkStart w:id="136" w:name="_Toc321836410"/>
      <w:bookmarkStart w:id="137" w:name="_Toc21781"/>
      <w:r>
        <w:rPr>
          <w:rFonts w:hint="eastAsia" w:ascii="宋体" w:hAnsi="宋体" w:eastAsia="宋体" w:cs="宋体"/>
          <w:sz w:val="24"/>
          <w:szCs w:val="24"/>
        </w:rPr>
        <w:t>3.1 资格评审</w:t>
      </w:r>
      <w:bookmarkEnd w:id="133"/>
      <w:bookmarkEnd w:id="134"/>
      <w:bookmarkEnd w:id="135"/>
      <w:bookmarkEnd w:id="136"/>
      <w:bookmarkEnd w:id="137"/>
    </w:p>
    <w:p w14:paraId="6318DCC2">
      <w:pPr>
        <w:pStyle w:val="12"/>
        <w:tabs>
          <w:tab w:val="left" w:pos="2472"/>
        </w:tabs>
        <w:spacing w:line="360" w:lineRule="auto"/>
        <w:ind w:firstLine="480" w:firstLineChars="200"/>
        <w:rPr>
          <w:rFonts w:hint="eastAsia" w:hAnsi="宋体" w:cs="宋体"/>
          <w:sz w:val="24"/>
          <w:szCs w:val="24"/>
        </w:rPr>
      </w:pPr>
      <w:r>
        <w:rPr>
          <w:rFonts w:hint="eastAsia" w:hAnsi="宋体" w:cs="宋体"/>
          <w:sz w:val="24"/>
          <w:szCs w:val="24"/>
        </w:rPr>
        <w:t>3.1.1由采购人或采购代理机构依据资格审查标准对实质性响应的投标人进行资格审查（资格性审查条件详见评标方法前附表），并向评标委员会提交资格审查报告。</w:t>
      </w:r>
    </w:p>
    <w:p w14:paraId="4BD9F23E">
      <w:pPr>
        <w:pStyle w:val="5"/>
        <w:tabs>
          <w:tab w:val="left" w:pos="1588"/>
        </w:tabs>
        <w:spacing w:before="0"/>
        <w:ind w:left="0" w:firstLine="482" w:firstLineChars="200"/>
        <w:rPr>
          <w:rFonts w:hint="eastAsia" w:ascii="宋体" w:hAnsi="宋体" w:eastAsia="宋体" w:cs="宋体"/>
          <w:sz w:val="24"/>
          <w:szCs w:val="24"/>
        </w:rPr>
      </w:pPr>
      <w:bookmarkStart w:id="138" w:name="_Toc5924"/>
      <w:bookmarkStart w:id="139" w:name="_Toc4808"/>
      <w:bookmarkStart w:id="140" w:name="_Toc15218"/>
      <w:bookmarkStart w:id="141" w:name="_Toc9016"/>
      <w:r>
        <w:rPr>
          <w:rFonts w:hint="eastAsia" w:ascii="宋体" w:hAnsi="宋体" w:eastAsia="宋体" w:cs="宋体"/>
          <w:sz w:val="24"/>
          <w:szCs w:val="24"/>
        </w:rPr>
        <w:t>3.2 符合性评审</w:t>
      </w:r>
      <w:bookmarkEnd w:id="138"/>
      <w:bookmarkEnd w:id="139"/>
      <w:bookmarkEnd w:id="140"/>
      <w:bookmarkEnd w:id="141"/>
    </w:p>
    <w:p w14:paraId="032F005B">
      <w:pPr>
        <w:pStyle w:val="5"/>
        <w:tabs>
          <w:tab w:val="left" w:pos="1588"/>
        </w:tabs>
        <w:spacing w:before="0"/>
        <w:ind w:left="0" w:firstLine="480" w:firstLineChars="200"/>
        <w:rPr>
          <w:rFonts w:hint="eastAsia" w:ascii="宋体" w:hAnsi="宋体" w:eastAsia="宋体" w:cs="宋体"/>
          <w:b w:val="0"/>
          <w:bCs/>
          <w:sz w:val="24"/>
          <w:szCs w:val="24"/>
        </w:rPr>
      </w:pPr>
      <w:bookmarkStart w:id="142" w:name="_Toc12492"/>
      <w:bookmarkStart w:id="143" w:name="_Toc2239"/>
      <w:bookmarkStart w:id="144" w:name="_Toc26590"/>
      <w:bookmarkStart w:id="145" w:name="_Toc26852"/>
      <w:r>
        <w:rPr>
          <w:rFonts w:hint="eastAsia" w:ascii="宋体" w:hAnsi="宋体" w:eastAsia="宋体" w:cs="宋体"/>
          <w:b w:val="0"/>
          <w:bCs/>
          <w:sz w:val="24"/>
          <w:szCs w:val="24"/>
        </w:rPr>
        <w:t>3.2.1 评标委员会对通过资格审查的投标人进行符合性审查（符合性审查条件详见评标方法前附表）。依据招标文件的规定，从投标文件的有效性、完整性和对招标文件的响应程度进行审查，以确定是否对招标文件的实质性要求做出响应。</w:t>
      </w:r>
      <w:bookmarkEnd w:id="142"/>
      <w:bookmarkEnd w:id="143"/>
      <w:bookmarkEnd w:id="144"/>
      <w:bookmarkEnd w:id="145"/>
    </w:p>
    <w:p w14:paraId="3D2D4FA4">
      <w:pPr>
        <w:pStyle w:val="12"/>
        <w:spacing w:line="360" w:lineRule="auto"/>
        <w:ind w:firstLine="480" w:firstLineChars="200"/>
        <w:rPr>
          <w:rFonts w:hint="eastAsia" w:hAnsi="宋体" w:cs="宋体"/>
          <w:sz w:val="24"/>
          <w:szCs w:val="24"/>
        </w:rPr>
      </w:pPr>
      <w:r>
        <w:rPr>
          <w:rFonts w:hint="eastAsia" w:hAnsi="宋体" w:cs="宋体"/>
          <w:sz w:val="24"/>
          <w:szCs w:val="24"/>
        </w:rPr>
        <w:t>3.2.2投标文件计算错误的修正</w:t>
      </w:r>
    </w:p>
    <w:p w14:paraId="0E552358">
      <w:pPr>
        <w:pStyle w:val="12"/>
        <w:spacing w:line="360" w:lineRule="auto"/>
        <w:ind w:firstLine="480" w:firstLineChars="200"/>
        <w:rPr>
          <w:rFonts w:hint="eastAsia" w:hAnsi="宋体" w:cs="宋体"/>
          <w:bCs/>
          <w:sz w:val="24"/>
          <w:szCs w:val="24"/>
        </w:rPr>
      </w:pPr>
      <w:r>
        <w:rPr>
          <w:rFonts w:hint="eastAsia" w:hAnsi="宋体" w:cs="宋体"/>
          <w:bCs/>
          <w:sz w:val="24"/>
          <w:szCs w:val="24"/>
        </w:rPr>
        <w:t>3.2.2.1 投标文件报价出现前后不一致的，除招标文件另有规定外，按照下列规定修正：</w:t>
      </w:r>
    </w:p>
    <w:p w14:paraId="7339AC80">
      <w:pPr>
        <w:pStyle w:val="12"/>
        <w:spacing w:line="360" w:lineRule="auto"/>
        <w:ind w:firstLine="480" w:firstLineChars="200"/>
        <w:rPr>
          <w:rFonts w:hint="eastAsia" w:hAnsi="宋体" w:cs="宋体"/>
          <w:bCs/>
          <w:sz w:val="24"/>
          <w:szCs w:val="24"/>
        </w:rPr>
      </w:pPr>
      <w:r>
        <w:rPr>
          <w:rFonts w:hint="eastAsia" w:hAnsi="宋体" w:cs="宋体"/>
          <w:bCs/>
          <w:sz w:val="24"/>
          <w:szCs w:val="24"/>
        </w:rPr>
        <w:t>1）投标文件中开标一览表（报价表）内容与投标文件中相应内容不一致的，以开标一览表（报价表）为准；</w:t>
      </w:r>
    </w:p>
    <w:p w14:paraId="069B99EC">
      <w:pPr>
        <w:pStyle w:val="12"/>
        <w:spacing w:line="360" w:lineRule="auto"/>
        <w:ind w:firstLine="480" w:firstLineChars="200"/>
        <w:rPr>
          <w:rFonts w:hint="eastAsia" w:hAnsi="宋体" w:cs="宋体"/>
          <w:bCs/>
          <w:sz w:val="24"/>
          <w:szCs w:val="24"/>
        </w:rPr>
      </w:pPr>
      <w:r>
        <w:rPr>
          <w:rFonts w:hint="eastAsia" w:hAnsi="宋体" w:cs="宋体"/>
          <w:bCs/>
          <w:sz w:val="24"/>
          <w:szCs w:val="24"/>
        </w:rPr>
        <w:t>2）大写金额和小写金额不一致的，以大写金额为准；</w:t>
      </w:r>
    </w:p>
    <w:p w14:paraId="1A6CAA1C">
      <w:pPr>
        <w:pStyle w:val="12"/>
        <w:spacing w:line="360" w:lineRule="auto"/>
        <w:ind w:firstLine="480" w:firstLineChars="200"/>
        <w:rPr>
          <w:rFonts w:hint="eastAsia" w:hAnsi="宋体" w:cs="宋体"/>
          <w:bCs/>
          <w:sz w:val="24"/>
          <w:szCs w:val="24"/>
        </w:rPr>
      </w:pPr>
      <w:r>
        <w:rPr>
          <w:rFonts w:hint="eastAsia" w:hAnsi="宋体" w:cs="宋体"/>
          <w:bCs/>
          <w:sz w:val="24"/>
          <w:szCs w:val="24"/>
        </w:rPr>
        <w:t>3）单价金额小数点或者百分比有明显错位的，以开标一览表的总价为准，并修改单价；</w:t>
      </w:r>
    </w:p>
    <w:p w14:paraId="55C6B090">
      <w:pPr>
        <w:pStyle w:val="12"/>
        <w:spacing w:line="360" w:lineRule="auto"/>
        <w:ind w:firstLine="480" w:firstLineChars="200"/>
        <w:rPr>
          <w:rFonts w:hint="eastAsia" w:hAnsi="宋体" w:cs="宋体"/>
          <w:bCs/>
          <w:sz w:val="24"/>
          <w:szCs w:val="24"/>
        </w:rPr>
      </w:pPr>
      <w:r>
        <w:rPr>
          <w:rFonts w:hint="eastAsia" w:hAnsi="宋体" w:cs="宋体"/>
          <w:bCs/>
          <w:sz w:val="24"/>
          <w:szCs w:val="24"/>
        </w:rPr>
        <w:t>4）总价金额与按单价汇总金额不一致的，以单价金额计算结果为准。</w:t>
      </w:r>
    </w:p>
    <w:p w14:paraId="42706D96">
      <w:pPr>
        <w:pStyle w:val="12"/>
        <w:tabs>
          <w:tab w:val="left" w:pos="2472"/>
        </w:tabs>
        <w:spacing w:line="360" w:lineRule="auto"/>
        <w:ind w:firstLine="480" w:firstLineChars="200"/>
        <w:rPr>
          <w:rFonts w:hint="eastAsia" w:hAnsi="宋体" w:cs="宋体"/>
          <w:sz w:val="24"/>
          <w:szCs w:val="24"/>
        </w:rPr>
      </w:pPr>
      <w:r>
        <w:rPr>
          <w:rFonts w:hint="eastAsia" w:hAnsi="宋体" w:cs="宋体"/>
          <w:sz w:val="24"/>
          <w:szCs w:val="24"/>
        </w:rPr>
        <w:t>按上述修正错误的原则及方法调整或修正投标文件的投标报价，同时出现两种以上不一致的，按照前款规定的顺序修正，投标人同意后，调整后的投标报价对投标人起约束作用。如果投标人不接受修正后的报价，则其投标按无效标处理。</w:t>
      </w:r>
    </w:p>
    <w:p w14:paraId="6E28F532">
      <w:pPr>
        <w:pStyle w:val="5"/>
        <w:tabs>
          <w:tab w:val="left" w:pos="1588"/>
        </w:tabs>
        <w:spacing w:before="0"/>
        <w:ind w:left="0" w:firstLine="0"/>
        <w:rPr>
          <w:rFonts w:hint="eastAsia" w:ascii="宋体" w:hAnsi="宋体" w:eastAsia="宋体" w:cs="宋体"/>
          <w:sz w:val="24"/>
          <w:szCs w:val="24"/>
        </w:rPr>
      </w:pPr>
      <w:bookmarkStart w:id="146" w:name="_Toc7843"/>
      <w:bookmarkStart w:id="147" w:name="_Toc23068"/>
      <w:bookmarkStart w:id="148" w:name="_Toc3241"/>
      <w:bookmarkStart w:id="149" w:name="_Toc31452"/>
      <w:r>
        <w:rPr>
          <w:rFonts w:hint="eastAsia" w:ascii="宋体" w:hAnsi="宋体" w:eastAsia="宋体" w:cs="宋体"/>
          <w:sz w:val="24"/>
          <w:szCs w:val="24"/>
        </w:rPr>
        <w:t>3.3详细评审</w:t>
      </w:r>
      <w:bookmarkEnd w:id="132"/>
      <w:bookmarkEnd w:id="146"/>
      <w:bookmarkEnd w:id="147"/>
      <w:bookmarkEnd w:id="148"/>
      <w:bookmarkEnd w:id="149"/>
    </w:p>
    <w:p w14:paraId="345379F9">
      <w:pPr>
        <w:pStyle w:val="12"/>
        <w:tabs>
          <w:tab w:val="left" w:pos="2472"/>
        </w:tabs>
        <w:spacing w:line="360" w:lineRule="auto"/>
        <w:ind w:firstLine="480" w:firstLineChars="200"/>
        <w:rPr>
          <w:rFonts w:hint="eastAsia" w:hAnsi="宋体" w:cs="宋体"/>
          <w:sz w:val="24"/>
          <w:szCs w:val="24"/>
        </w:rPr>
      </w:pPr>
      <w:r>
        <w:rPr>
          <w:rFonts w:hint="eastAsia" w:hAnsi="宋体" w:cs="宋体"/>
          <w:sz w:val="24"/>
          <w:szCs w:val="24"/>
        </w:rPr>
        <w:t>3.3.1 评标委员会按本章规定的量化因素和分值进行打分，并计算出投标人的评标总得分。对投标人的价格分等客观评分项的评分应当一致，对其他需要借助专业知识评判的主观评分项，应当严格按照评分细则公正评分。</w:t>
      </w:r>
    </w:p>
    <w:p w14:paraId="017B1436">
      <w:pPr>
        <w:spacing w:line="360" w:lineRule="auto"/>
        <w:ind w:firstLine="480" w:firstLineChars="200"/>
        <w:jc w:val="left"/>
        <w:rPr>
          <w:rFonts w:hint="eastAsia" w:ascii="宋体" w:hAnsi="宋体" w:cs="宋体"/>
          <w:sz w:val="24"/>
        </w:rPr>
      </w:pPr>
      <w:r>
        <w:rPr>
          <w:rFonts w:hint="eastAsia" w:ascii="宋体" w:hAnsi="宋体" w:cs="宋体"/>
          <w:sz w:val="24"/>
        </w:rPr>
        <w:t>3.3.2除投标报价得分外，其余部分得分由评标委员会成员独立评分，</w:t>
      </w:r>
      <w:r>
        <w:rPr>
          <w:rFonts w:hint="eastAsia" w:ascii="宋体" w:hAnsi="宋体" w:cs="宋体"/>
          <w:bCs/>
          <w:sz w:val="24"/>
        </w:rPr>
        <w:t>投标人各项评分因素得分为该项因素各评委评分的算术平均值（</w:t>
      </w:r>
      <w:r>
        <w:rPr>
          <w:rFonts w:hint="eastAsia" w:ascii="宋体" w:hAnsi="宋体" w:cs="宋体"/>
          <w:b/>
          <w:sz w:val="24"/>
        </w:rPr>
        <w:t>保留小数点后两位</w:t>
      </w:r>
      <w:r>
        <w:rPr>
          <w:rFonts w:hint="eastAsia" w:ascii="宋体" w:hAnsi="宋体" w:cs="宋体"/>
          <w:bCs/>
          <w:sz w:val="24"/>
        </w:rPr>
        <w:t>）</w:t>
      </w:r>
      <w:r>
        <w:rPr>
          <w:rFonts w:hint="eastAsia" w:ascii="宋体" w:hAnsi="宋体" w:cs="宋体"/>
          <w:sz w:val="24"/>
        </w:rPr>
        <w:t>。</w:t>
      </w:r>
    </w:p>
    <w:p w14:paraId="69C30B6B">
      <w:pPr>
        <w:spacing w:line="360" w:lineRule="auto"/>
        <w:ind w:firstLine="480" w:firstLineChars="200"/>
        <w:jc w:val="left"/>
        <w:rPr>
          <w:rFonts w:hint="eastAsia" w:ascii="宋体" w:hAnsi="宋体" w:cs="宋体"/>
          <w:sz w:val="24"/>
        </w:rPr>
      </w:pPr>
      <w:r>
        <w:rPr>
          <w:rFonts w:hint="eastAsia" w:ascii="宋体" w:hAnsi="宋体" w:cs="宋体"/>
          <w:sz w:val="24"/>
        </w:rPr>
        <w:t>3.3.3评标委员会成员要依法独立评审，并对评审意见承担个人责任。评标委员会成员对需要共同认定的事项存在争议的，按照少数服从多数的原则做出结论。持不同意见的评标委员会成员应当在评标报告上签署不同意见并说明理由，否则视为同意。</w:t>
      </w:r>
    </w:p>
    <w:p w14:paraId="7A9A03BA">
      <w:pPr>
        <w:pStyle w:val="5"/>
        <w:tabs>
          <w:tab w:val="left" w:pos="1588"/>
        </w:tabs>
        <w:spacing w:before="0"/>
        <w:ind w:left="0" w:firstLine="0"/>
        <w:rPr>
          <w:rFonts w:hint="eastAsia" w:ascii="宋体" w:hAnsi="宋体" w:eastAsia="宋体" w:cs="宋体"/>
          <w:sz w:val="24"/>
          <w:szCs w:val="24"/>
        </w:rPr>
      </w:pPr>
      <w:bookmarkStart w:id="150" w:name="_Toc321836412"/>
      <w:bookmarkStart w:id="151" w:name="_Toc18986"/>
      <w:bookmarkStart w:id="152" w:name="_Toc11627"/>
      <w:bookmarkStart w:id="153" w:name="_Toc28017"/>
      <w:bookmarkStart w:id="154" w:name="_Toc29699"/>
      <w:r>
        <w:rPr>
          <w:rFonts w:hint="eastAsia" w:ascii="宋体" w:hAnsi="宋体" w:eastAsia="宋体" w:cs="宋体"/>
          <w:sz w:val="24"/>
          <w:szCs w:val="24"/>
        </w:rPr>
        <w:t>3.4 投标文件的澄清</w:t>
      </w:r>
      <w:bookmarkEnd w:id="150"/>
      <w:bookmarkEnd w:id="151"/>
      <w:bookmarkEnd w:id="152"/>
      <w:bookmarkEnd w:id="153"/>
      <w:bookmarkEnd w:id="154"/>
      <w:r>
        <w:rPr>
          <w:rFonts w:hint="eastAsia" w:ascii="宋体" w:hAnsi="宋体" w:eastAsia="宋体" w:cs="宋体"/>
          <w:sz w:val="24"/>
          <w:szCs w:val="24"/>
        </w:rPr>
        <w:t xml:space="preserve"> </w:t>
      </w:r>
    </w:p>
    <w:p w14:paraId="018DE58B">
      <w:pPr>
        <w:spacing w:line="360" w:lineRule="auto"/>
        <w:ind w:firstLine="480" w:firstLineChars="200"/>
        <w:jc w:val="left"/>
        <w:rPr>
          <w:rFonts w:hint="eastAsia" w:ascii="宋体" w:hAnsi="宋体" w:cs="宋体"/>
          <w:sz w:val="24"/>
        </w:rPr>
      </w:pPr>
      <w:r>
        <w:rPr>
          <w:rFonts w:hint="eastAsia" w:ascii="宋体" w:hAnsi="宋体" w:cs="宋体"/>
          <w:sz w:val="24"/>
        </w:rPr>
        <w:t>3.4.1 在评标过程中，评标委员会可以书面形式（应当由评标委员会专家签字）要求投标人对所提交的投标文件中含义不明确、同类问题表述不一致或者有明显文字和计算错误的内容，进行书面澄清或说明。评标委员会不接受投标人主动提出的澄清、说明。</w:t>
      </w:r>
    </w:p>
    <w:p w14:paraId="3BABB96C">
      <w:pPr>
        <w:spacing w:line="360" w:lineRule="auto"/>
        <w:ind w:firstLine="480" w:firstLineChars="200"/>
        <w:jc w:val="left"/>
        <w:rPr>
          <w:rFonts w:hint="eastAsia" w:ascii="宋体" w:hAnsi="宋体" w:cs="宋体"/>
          <w:sz w:val="24"/>
        </w:rPr>
      </w:pPr>
      <w:r>
        <w:rPr>
          <w:rFonts w:hint="eastAsia" w:ascii="宋体" w:hAnsi="宋体" w:cs="宋体"/>
          <w:sz w:val="24"/>
        </w:rPr>
        <w:t>3.4.2 投标人的澄清、说明应当采用书面形式，由法定代表人或其授权的代表签字，澄清事项不得超出投标文件的范围并不得改变投标文件的实质性内容（算术性错误修正的除外）。投标人的书面澄清、说明属于投标文件的组成部分。</w:t>
      </w:r>
    </w:p>
    <w:p w14:paraId="45F5395B">
      <w:pPr>
        <w:spacing w:line="360" w:lineRule="auto"/>
        <w:ind w:firstLine="480" w:firstLineChars="200"/>
        <w:jc w:val="left"/>
        <w:rPr>
          <w:rFonts w:hint="eastAsia" w:ascii="宋体" w:hAnsi="宋体" w:cs="宋体"/>
          <w:sz w:val="24"/>
        </w:rPr>
      </w:pPr>
      <w:r>
        <w:rPr>
          <w:rFonts w:hint="eastAsia" w:ascii="宋体" w:hAnsi="宋体" w:cs="宋体"/>
          <w:sz w:val="24"/>
        </w:rPr>
        <w:t>3.4.3 评标委员会对投标人提交的澄清、说明有疑问的，可以要求投标人进一步澄清、说明。</w:t>
      </w:r>
    </w:p>
    <w:p w14:paraId="6BA6242F">
      <w:pPr>
        <w:pStyle w:val="5"/>
        <w:tabs>
          <w:tab w:val="left" w:pos="1588"/>
        </w:tabs>
        <w:spacing w:before="0"/>
        <w:ind w:left="0" w:firstLine="0"/>
        <w:rPr>
          <w:rFonts w:hint="eastAsia" w:ascii="宋体" w:hAnsi="宋体" w:eastAsia="宋体" w:cs="宋体"/>
          <w:sz w:val="24"/>
          <w:szCs w:val="24"/>
        </w:rPr>
      </w:pPr>
      <w:bookmarkStart w:id="155" w:name="_Toc30582"/>
      <w:bookmarkStart w:id="156" w:name="_Toc321836413"/>
      <w:bookmarkStart w:id="157" w:name="_Toc10112"/>
      <w:bookmarkStart w:id="158" w:name="_Toc7677"/>
      <w:bookmarkStart w:id="159" w:name="_Toc23997"/>
      <w:r>
        <w:rPr>
          <w:rFonts w:hint="eastAsia" w:ascii="宋体" w:hAnsi="宋体" w:eastAsia="宋体" w:cs="宋体"/>
          <w:sz w:val="24"/>
          <w:szCs w:val="24"/>
        </w:rPr>
        <w:t>3.5评标结果</w:t>
      </w:r>
      <w:bookmarkEnd w:id="155"/>
      <w:bookmarkEnd w:id="156"/>
      <w:bookmarkEnd w:id="157"/>
      <w:bookmarkEnd w:id="158"/>
      <w:bookmarkEnd w:id="159"/>
    </w:p>
    <w:p w14:paraId="5FC70DE4">
      <w:pPr>
        <w:spacing w:line="360" w:lineRule="auto"/>
        <w:ind w:firstLine="480" w:firstLineChars="200"/>
        <w:jc w:val="left"/>
        <w:rPr>
          <w:rFonts w:hint="eastAsia" w:ascii="宋体" w:hAnsi="宋体" w:cs="宋体"/>
          <w:sz w:val="24"/>
        </w:rPr>
      </w:pPr>
      <w:r>
        <w:rPr>
          <w:rFonts w:hint="eastAsia" w:ascii="宋体" w:hAnsi="宋体" w:cs="宋体"/>
          <w:sz w:val="24"/>
        </w:rPr>
        <w:t>3.5.1 评标委员会按得分由高到低顺序推荐中标候选人，并提出书面评标报告。评标委员会的评标报告应由评标委员会全体成员签字。对评标结论有异议的评标委员会成员可以书面方式阐述其不同意见和理由。评标委员会成员拒绝在评标报告上签字且不以书面阐述其不同意见和理由的，视为同意评标结论。评标委员会应当对此作出书面说明并记录在案。</w:t>
      </w:r>
    </w:p>
    <w:p w14:paraId="726CD68A">
      <w:pPr>
        <w:spacing w:line="360" w:lineRule="auto"/>
        <w:ind w:firstLine="480" w:firstLineChars="200"/>
        <w:jc w:val="left"/>
        <w:rPr>
          <w:rFonts w:hint="eastAsia" w:ascii="宋体" w:hAnsi="宋体" w:cs="宋体"/>
          <w:sz w:val="24"/>
        </w:rPr>
      </w:pPr>
      <w:r>
        <w:rPr>
          <w:rFonts w:hint="eastAsia" w:ascii="宋体" w:hAnsi="宋体" w:cs="宋体"/>
          <w:sz w:val="24"/>
        </w:rPr>
        <w:t>3.5.2 采购人根据评标委员会提出的书面评标报告和推荐的中标候选人名单，确定中标人。</w:t>
      </w:r>
    </w:p>
    <w:p w14:paraId="546F6FDB">
      <w:pPr>
        <w:spacing w:line="360" w:lineRule="auto"/>
        <w:ind w:firstLine="480" w:firstLineChars="200"/>
        <w:jc w:val="left"/>
        <w:rPr>
          <w:rFonts w:hint="eastAsia" w:ascii="宋体" w:hAnsi="宋体" w:cs="宋体"/>
          <w:sz w:val="24"/>
        </w:rPr>
      </w:pPr>
      <w:r>
        <w:rPr>
          <w:rFonts w:hint="eastAsia" w:ascii="宋体" w:hAnsi="宋体" w:cs="宋体"/>
          <w:sz w:val="24"/>
        </w:rPr>
        <w:t>3.5.3特殊情形处理</w:t>
      </w:r>
    </w:p>
    <w:p w14:paraId="52230AFC">
      <w:pPr>
        <w:tabs>
          <w:tab w:val="left" w:pos="7899"/>
        </w:tabs>
        <w:spacing w:line="360" w:lineRule="auto"/>
        <w:ind w:firstLine="472" w:firstLineChars="197"/>
        <w:rPr>
          <w:rFonts w:hint="eastAsia" w:ascii="宋体" w:hAnsi="宋体" w:cs="宋体"/>
          <w:sz w:val="24"/>
        </w:rPr>
      </w:pPr>
      <w:r>
        <w:rPr>
          <w:rFonts w:hint="eastAsia" w:ascii="宋体" w:hAnsi="宋体" w:cs="宋体"/>
          <w:sz w:val="24"/>
        </w:rPr>
        <w:t>（一）公开招标数额标准以上的采购项目，投标截止后投标人不足3家或者通过资格审查或符合性审查的投标人不足3家的，除采购任务取消情形外，按照以下方式处理：</w:t>
      </w:r>
    </w:p>
    <w:p w14:paraId="25694B00">
      <w:pPr>
        <w:tabs>
          <w:tab w:val="left" w:pos="7899"/>
        </w:tabs>
        <w:spacing w:line="360" w:lineRule="auto"/>
        <w:ind w:firstLine="472" w:firstLineChars="197"/>
        <w:rPr>
          <w:rFonts w:hint="eastAsia" w:ascii="宋体" w:hAnsi="宋体" w:cs="宋体"/>
          <w:sz w:val="24"/>
        </w:rPr>
      </w:pPr>
      <w:r>
        <w:rPr>
          <w:rFonts w:hint="eastAsia" w:ascii="宋体" w:hAnsi="宋体" w:cs="宋体"/>
          <w:sz w:val="24"/>
        </w:rPr>
        <w:t>（1）招标文件存在不合理条款或者招标程序不符合规定的，采购人、采购代理机构改正后依法重新招标；</w:t>
      </w:r>
    </w:p>
    <w:p w14:paraId="536F1697">
      <w:pPr>
        <w:tabs>
          <w:tab w:val="left" w:pos="7899"/>
        </w:tabs>
        <w:spacing w:line="360" w:lineRule="auto"/>
        <w:ind w:firstLine="472" w:firstLineChars="197"/>
        <w:rPr>
          <w:rFonts w:hint="eastAsia" w:ascii="宋体" w:hAnsi="宋体" w:cs="宋体"/>
          <w:sz w:val="24"/>
        </w:rPr>
      </w:pPr>
      <w:r>
        <w:rPr>
          <w:rFonts w:hint="eastAsia" w:ascii="宋体" w:hAnsi="宋体" w:cs="宋体"/>
          <w:sz w:val="24"/>
        </w:rPr>
        <w:t>（2）招标文件没有不合理条款、招标程序符合规定，需要采用其他采购方式采购的，采购人应当依法报财政部门批准。</w:t>
      </w:r>
    </w:p>
    <w:p w14:paraId="67C285A8">
      <w:pPr>
        <w:tabs>
          <w:tab w:val="left" w:pos="7899"/>
        </w:tabs>
        <w:spacing w:line="360" w:lineRule="auto"/>
        <w:ind w:firstLine="472" w:firstLineChars="197"/>
        <w:rPr>
          <w:rFonts w:hint="eastAsia" w:ascii="宋体" w:hAnsi="宋体" w:cs="宋体"/>
          <w:sz w:val="24"/>
        </w:rPr>
      </w:pPr>
      <w:r>
        <w:rPr>
          <w:rFonts w:hint="eastAsia" w:ascii="宋体" w:hAnsi="宋体" w:cs="宋体"/>
          <w:sz w:val="24"/>
        </w:rPr>
        <w:t>（二）评标结果汇总完成后，除下列情形外，任何人不得修改评标结果：</w:t>
      </w:r>
    </w:p>
    <w:p w14:paraId="2C8E5FF7">
      <w:pPr>
        <w:tabs>
          <w:tab w:val="left" w:pos="7899"/>
        </w:tabs>
        <w:spacing w:line="360" w:lineRule="auto"/>
        <w:ind w:firstLine="472" w:firstLineChars="197"/>
        <w:rPr>
          <w:rFonts w:hint="eastAsia" w:ascii="宋体" w:hAnsi="宋体" w:cs="宋体"/>
          <w:sz w:val="24"/>
        </w:rPr>
      </w:pPr>
      <w:r>
        <w:rPr>
          <w:rFonts w:hint="eastAsia" w:ascii="宋体" w:hAnsi="宋体" w:cs="宋体"/>
          <w:sz w:val="24"/>
        </w:rPr>
        <w:t>（1）分值汇总计算错误的；</w:t>
      </w:r>
    </w:p>
    <w:p w14:paraId="6D0449B7">
      <w:pPr>
        <w:tabs>
          <w:tab w:val="left" w:pos="7899"/>
        </w:tabs>
        <w:spacing w:line="360" w:lineRule="auto"/>
        <w:ind w:firstLine="472" w:firstLineChars="197"/>
        <w:rPr>
          <w:rFonts w:hint="eastAsia" w:ascii="宋体" w:hAnsi="宋体" w:cs="宋体"/>
          <w:sz w:val="24"/>
        </w:rPr>
      </w:pPr>
      <w:r>
        <w:rPr>
          <w:rFonts w:hint="eastAsia" w:ascii="宋体" w:hAnsi="宋体" w:cs="宋体"/>
          <w:sz w:val="24"/>
        </w:rPr>
        <w:t>（2）分项评分超出评分标准范围的；</w:t>
      </w:r>
    </w:p>
    <w:p w14:paraId="588CDA27">
      <w:pPr>
        <w:tabs>
          <w:tab w:val="left" w:pos="7899"/>
        </w:tabs>
        <w:spacing w:line="360" w:lineRule="auto"/>
        <w:ind w:firstLine="472" w:firstLineChars="197"/>
        <w:rPr>
          <w:rFonts w:hint="eastAsia" w:ascii="宋体" w:hAnsi="宋体" w:cs="宋体"/>
          <w:sz w:val="24"/>
        </w:rPr>
      </w:pPr>
      <w:r>
        <w:rPr>
          <w:rFonts w:hint="eastAsia" w:ascii="宋体" w:hAnsi="宋体" w:cs="宋体"/>
          <w:sz w:val="24"/>
        </w:rPr>
        <w:t>（3）评标委员会成员对客观评审因素评分不一致的；</w:t>
      </w:r>
    </w:p>
    <w:p w14:paraId="2E9A00EE">
      <w:pPr>
        <w:tabs>
          <w:tab w:val="left" w:pos="7899"/>
        </w:tabs>
        <w:spacing w:line="360" w:lineRule="auto"/>
        <w:ind w:firstLine="472" w:firstLineChars="197"/>
        <w:rPr>
          <w:rFonts w:hint="eastAsia" w:ascii="宋体" w:hAnsi="宋体" w:cs="宋体"/>
          <w:sz w:val="24"/>
        </w:rPr>
      </w:pPr>
      <w:r>
        <w:rPr>
          <w:rFonts w:hint="eastAsia" w:ascii="宋体" w:hAnsi="宋体" w:cs="宋体"/>
          <w:sz w:val="24"/>
        </w:rPr>
        <w:t>（4）经评标委员会认定评分畸高、畸低的。</w:t>
      </w:r>
    </w:p>
    <w:p w14:paraId="6522807A">
      <w:pPr>
        <w:tabs>
          <w:tab w:val="left" w:pos="7899"/>
        </w:tabs>
        <w:spacing w:line="360" w:lineRule="auto"/>
        <w:ind w:firstLine="472" w:firstLineChars="197"/>
        <w:rPr>
          <w:rFonts w:hint="eastAsia" w:ascii="宋体" w:hAnsi="宋体" w:cs="宋体"/>
          <w:sz w:val="24"/>
        </w:rPr>
      </w:pPr>
      <w:r>
        <w:rPr>
          <w:rFonts w:hint="eastAsia" w:ascii="宋体" w:hAnsi="宋体" w:cs="宋体"/>
          <w:sz w:val="24"/>
        </w:rPr>
        <w:t>（三）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77A7B63D">
      <w:pPr>
        <w:tabs>
          <w:tab w:val="left" w:pos="7899"/>
        </w:tabs>
        <w:spacing w:line="360" w:lineRule="auto"/>
        <w:ind w:firstLine="472" w:firstLineChars="197"/>
        <w:rPr>
          <w:rFonts w:hint="eastAsia" w:ascii="宋体" w:hAnsi="宋体" w:cs="宋体"/>
          <w:sz w:val="24"/>
        </w:rPr>
      </w:pPr>
      <w:r>
        <w:rPr>
          <w:rFonts w:hint="eastAsia" w:ascii="宋体" w:hAnsi="宋体" w:cs="宋体"/>
          <w:sz w:val="24"/>
        </w:rPr>
        <w:t>（四）投标人对本条第一款情形提出质疑的，采购人或者采购代理机构可以组织原评标委员会进行重新评审，重新评审改变评标结果的，应当书面报告本级财政部门。</w:t>
      </w:r>
    </w:p>
    <w:p w14:paraId="78072DE7">
      <w:pPr>
        <w:tabs>
          <w:tab w:val="left" w:pos="7899"/>
        </w:tabs>
        <w:spacing w:line="360" w:lineRule="auto"/>
        <w:ind w:firstLine="472" w:firstLineChars="197"/>
        <w:rPr>
          <w:rFonts w:hint="eastAsia" w:ascii="宋体" w:hAnsi="宋体" w:cs="宋体"/>
          <w:sz w:val="24"/>
        </w:rPr>
      </w:pPr>
      <w:r>
        <w:rPr>
          <w:rFonts w:hint="eastAsia" w:ascii="宋体" w:hAnsi="宋体" w:cs="宋体"/>
          <w:sz w:val="24"/>
        </w:rPr>
        <w:t>（五）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4678FEEA">
      <w:pPr>
        <w:tabs>
          <w:tab w:val="left" w:pos="7899"/>
        </w:tabs>
        <w:spacing w:line="360" w:lineRule="auto"/>
        <w:ind w:firstLine="413" w:firstLineChars="197"/>
        <w:jc w:val="center"/>
        <w:outlineLvl w:val="0"/>
        <w:rPr>
          <w:rFonts w:hint="eastAsia" w:ascii="宋体" w:hAnsi="宋体" w:cs="宋体"/>
          <w:b/>
          <w:sz w:val="30"/>
          <w:szCs w:val="30"/>
        </w:rPr>
      </w:pPr>
      <w:r>
        <w:rPr>
          <w:rFonts w:hint="eastAsia" w:ascii="宋体" w:hAnsi="宋体" w:cs="宋体"/>
        </w:rPr>
        <w:br w:type="page"/>
      </w:r>
      <w:bookmarkStart w:id="160" w:name="_Toc4861"/>
      <w:bookmarkStart w:id="161" w:name="_Toc25104"/>
      <w:bookmarkStart w:id="162" w:name="_Toc4043"/>
      <w:bookmarkStart w:id="163" w:name="_Toc3289"/>
      <w:r>
        <w:rPr>
          <w:rStyle w:val="34"/>
          <w:rFonts w:hint="eastAsia" w:ascii="宋体" w:hAnsi="宋体" w:eastAsia="宋体" w:cs="宋体"/>
        </w:rPr>
        <w:t>第六章  投标文件格式</w:t>
      </w:r>
      <w:bookmarkEnd w:id="160"/>
      <w:bookmarkEnd w:id="161"/>
      <w:bookmarkEnd w:id="162"/>
      <w:bookmarkEnd w:id="163"/>
    </w:p>
    <w:p w14:paraId="2AD8248F">
      <w:pPr>
        <w:spacing w:line="360" w:lineRule="auto"/>
        <w:rPr>
          <w:rFonts w:hint="eastAsia" w:ascii="宋体" w:hAnsi="宋体" w:cs="宋体"/>
        </w:rPr>
      </w:pPr>
    </w:p>
    <w:p w14:paraId="40FF5BB7">
      <w:pPr>
        <w:spacing w:line="360" w:lineRule="auto"/>
        <w:jc w:val="center"/>
        <w:rPr>
          <w:rFonts w:hint="eastAsia" w:ascii="宋体" w:hAnsi="宋体" w:cs="宋体"/>
          <w:b/>
          <w:sz w:val="52"/>
          <w:szCs w:val="40"/>
          <w:u w:val="single"/>
          <w:shd w:val="clear" w:color="auto" w:fill="FFFFFF"/>
        </w:rPr>
      </w:pPr>
      <w:r>
        <w:rPr>
          <w:rFonts w:hint="eastAsia" w:ascii="宋体" w:hAnsi="宋体" w:cs="宋体"/>
          <w:b/>
          <w:sz w:val="48"/>
          <w:szCs w:val="36"/>
          <w:shd w:val="clear" w:color="auto" w:fill="FFFFFF"/>
        </w:rPr>
        <w:t>玉溪市2026年生态环境监测能力提升项目</w:t>
      </w:r>
    </w:p>
    <w:p w14:paraId="1F6E4630">
      <w:pPr>
        <w:spacing w:line="360" w:lineRule="auto"/>
        <w:ind w:firstLine="397"/>
        <w:jc w:val="center"/>
        <w:rPr>
          <w:rFonts w:hint="eastAsia" w:ascii="宋体" w:hAnsi="宋体" w:cs="宋体"/>
          <w:sz w:val="44"/>
        </w:rPr>
      </w:pPr>
    </w:p>
    <w:p w14:paraId="64875695">
      <w:pPr>
        <w:pStyle w:val="6"/>
        <w:spacing w:line="360" w:lineRule="auto"/>
        <w:rPr>
          <w:rFonts w:hint="eastAsia" w:ascii="宋体" w:hAnsi="宋体" w:cs="宋体"/>
        </w:rPr>
      </w:pPr>
    </w:p>
    <w:p w14:paraId="37118658">
      <w:pPr>
        <w:pStyle w:val="29"/>
        <w:spacing w:line="360" w:lineRule="auto"/>
        <w:rPr>
          <w:rFonts w:hint="eastAsia" w:ascii="宋体" w:hAnsi="宋体" w:cs="宋体"/>
          <w:sz w:val="44"/>
        </w:rPr>
      </w:pPr>
    </w:p>
    <w:p w14:paraId="365BAD3E">
      <w:pPr>
        <w:pStyle w:val="29"/>
        <w:spacing w:line="360" w:lineRule="auto"/>
        <w:rPr>
          <w:rFonts w:hint="eastAsia" w:ascii="宋体" w:hAnsi="宋体" w:cs="宋体"/>
          <w:sz w:val="44"/>
        </w:rPr>
      </w:pPr>
    </w:p>
    <w:p w14:paraId="7612041A">
      <w:pPr>
        <w:pStyle w:val="29"/>
        <w:spacing w:line="360" w:lineRule="auto"/>
        <w:rPr>
          <w:rFonts w:hint="eastAsia" w:ascii="宋体" w:hAnsi="宋体" w:cs="宋体"/>
          <w:sz w:val="44"/>
        </w:rPr>
      </w:pPr>
    </w:p>
    <w:p w14:paraId="2C345ED2">
      <w:pPr>
        <w:pStyle w:val="6"/>
        <w:spacing w:line="360" w:lineRule="auto"/>
        <w:rPr>
          <w:rFonts w:hint="eastAsia" w:ascii="宋体" w:hAnsi="宋体" w:cs="宋体"/>
        </w:rPr>
      </w:pPr>
    </w:p>
    <w:p w14:paraId="70265E0D">
      <w:pPr>
        <w:spacing w:line="360" w:lineRule="auto"/>
        <w:ind w:firstLine="397"/>
        <w:jc w:val="center"/>
        <w:rPr>
          <w:rFonts w:hint="eastAsia" w:ascii="宋体" w:hAnsi="宋体" w:cs="宋体"/>
          <w:b/>
          <w:sz w:val="96"/>
          <w:szCs w:val="28"/>
        </w:rPr>
      </w:pPr>
      <w:r>
        <w:rPr>
          <w:rFonts w:hint="eastAsia" w:ascii="宋体" w:hAnsi="宋体" w:cs="宋体"/>
          <w:b/>
          <w:sz w:val="96"/>
          <w:szCs w:val="28"/>
        </w:rPr>
        <w:t>投 标 文 件</w:t>
      </w:r>
    </w:p>
    <w:p w14:paraId="0AF308AB">
      <w:pPr>
        <w:spacing w:line="360" w:lineRule="auto"/>
        <w:ind w:left="1680" w:leftChars="800" w:firstLine="397"/>
        <w:rPr>
          <w:rFonts w:hint="eastAsia" w:ascii="宋体" w:hAnsi="宋体" w:cs="宋体"/>
          <w:b/>
          <w:bCs/>
          <w:sz w:val="32"/>
          <w:szCs w:val="32"/>
          <w:u w:val="single"/>
        </w:rPr>
      </w:pPr>
      <w:r>
        <w:rPr>
          <w:rFonts w:hint="eastAsia" w:ascii="宋体" w:hAnsi="宋体" w:cs="宋体"/>
          <w:b/>
          <w:bCs/>
          <w:sz w:val="36"/>
          <w:szCs w:val="32"/>
        </w:rPr>
        <w:t>项目编号：</w:t>
      </w:r>
      <w:r>
        <w:rPr>
          <w:rFonts w:hint="eastAsia" w:ascii="宋体" w:hAnsi="宋体" w:cs="宋体"/>
          <w:b/>
          <w:bCs/>
          <w:sz w:val="36"/>
          <w:szCs w:val="32"/>
          <w:u w:val="single"/>
        </w:rPr>
        <w:t xml:space="preserve">                  </w:t>
      </w:r>
      <w:r>
        <w:rPr>
          <w:rFonts w:hint="eastAsia" w:ascii="宋体" w:hAnsi="宋体" w:cs="宋体"/>
          <w:b/>
          <w:bCs/>
          <w:sz w:val="36"/>
          <w:szCs w:val="32"/>
        </w:rPr>
        <w:t xml:space="preserve">      </w:t>
      </w:r>
    </w:p>
    <w:p w14:paraId="28A049FC">
      <w:pPr>
        <w:spacing w:line="360" w:lineRule="auto"/>
        <w:ind w:firstLine="397"/>
        <w:jc w:val="center"/>
        <w:rPr>
          <w:rFonts w:hint="eastAsia" w:ascii="宋体" w:hAnsi="宋体" w:cs="宋体"/>
          <w:sz w:val="24"/>
        </w:rPr>
      </w:pPr>
    </w:p>
    <w:p w14:paraId="2843156D">
      <w:pPr>
        <w:spacing w:line="360" w:lineRule="auto"/>
        <w:ind w:firstLine="397"/>
        <w:jc w:val="center"/>
        <w:rPr>
          <w:rFonts w:hint="eastAsia" w:ascii="宋体" w:hAnsi="宋体" w:cs="宋体"/>
          <w:sz w:val="24"/>
        </w:rPr>
      </w:pPr>
    </w:p>
    <w:p w14:paraId="3099B803">
      <w:pPr>
        <w:spacing w:line="360" w:lineRule="auto"/>
        <w:ind w:firstLine="397"/>
        <w:jc w:val="center"/>
        <w:rPr>
          <w:rFonts w:hint="eastAsia" w:ascii="宋体" w:hAnsi="宋体" w:cs="宋体"/>
          <w:sz w:val="24"/>
        </w:rPr>
      </w:pPr>
    </w:p>
    <w:p w14:paraId="14351486">
      <w:pPr>
        <w:pStyle w:val="29"/>
        <w:spacing w:line="360" w:lineRule="auto"/>
        <w:rPr>
          <w:rFonts w:hint="eastAsia" w:ascii="宋体" w:hAnsi="宋体" w:cs="宋体"/>
        </w:rPr>
      </w:pPr>
    </w:p>
    <w:p w14:paraId="53610C74">
      <w:pPr>
        <w:spacing w:line="360" w:lineRule="auto"/>
        <w:rPr>
          <w:rFonts w:hint="eastAsia" w:ascii="宋体" w:hAnsi="宋体" w:cs="宋体"/>
        </w:rPr>
      </w:pPr>
    </w:p>
    <w:p w14:paraId="4D27ABAF">
      <w:pPr>
        <w:pStyle w:val="29"/>
        <w:spacing w:line="360" w:lineRule="auto"/>
        <w:rPr>
          <w:rFonts w:hint="eastAsia" w:ascii="宋体" w:hAnsi="宋体" w:cs="宋体"/>
        </w:rPr>
      </w:pPr>
    </w:p>
    <w:p w14:paraId="05F247D9">
      <w:pPr>
        <w:spacing w:line="360" w:lineRule="auto"/>
        <w:rPr>
          <w:rFonts w:hint="eastAsia" w:ascii="宋体" w:hAnsi="宋体" w:cs="宋体"/>
        </w:rPr>
      </w:pPr>
    </w:p>
    <w:p w14:paraId="3ABAF931">
      <w:pPr>
        <w:spacing w:line="360" w:lineRule="auto"/>
        <w:jc w:val="center"/>
        <w:rPr>
          <w:rFonts w:hint="eastAsia" w:ascii="宋体" w:hAnsi="宋体" w:cs="宋体"/>
          <w:sz w:val="28"/>
          <w:u w:val="single"/>
        </w:rPr>
      </w:pPr>
      <w:r>
        <w:rPr>
          <w:rFonts w:hint="eastAsia" w:ascii="宋体" w:hAnsi="宋体" w:cs="宋体"/>
          <w:sz w:val="28"/>
        </w:rPr>
        <w:t xml:space="preserve">投标人名称: </w:t>
      </w:r>
      <w:r>
        <w:rPr>
          <w:rFonts w:hint="eastAsia" w:ascii="宋体" w:hAnsi="宋体" w:cs="宋体"/>
          <w:sz w:val="28"/>
          <w:u w:val="single"/>
        </w:rPr>
        <w:t xml:space="preserve">                          </w:t>
      </w:r>
      <w:r>
        <w:rPr>
          <w:rFonts w:hint="eastAsia" w:ascii="宋体" w:hAnsi="宋体" w:cs="宋体"/>
          <w:sz w:val="28"/>
        </w:rPr>
        <w:t>（电子签章）</w:t>
      </w:r>
    </w:p>
    <w:p w14:paraId="31F6B0D5">
      <w:pPr>
        <w:spacing w:line="360" w:lineRule="auto"/>
        <w:jc w:val="center"/>
        <w:rPr>
          <w:rFonts w:hint="eastAsia" w:ascii="宋体" w:hAnsi="宋体" w:cs="宋体"/>
          <w:sz w:val="28"/>
        </w:rPr>
      </w:pPr>
      <w:r>
        <w:rPr>
          <w:rFonts w:hint="eastAsia" w:ascii="宋体" w:hAnsi="宋体" w:cs="宋体"/>
          <w:sz w:val="28"/>
        </w:rPr>
        <w:t>法定代表人或其委托代理人:</w:t>
      </w:r>
      <w:r>
        <w:rPr>
          <w:rFonts w:hint="eastAsia" w:ascii="宋体" w:hAnsi="宋体" w:cs="宋体"/>
          <w:sz w:val="28"/>
          <w:u w:val="single"/>
        </w:rPr>
        <w:t xml:space="preserve">           </w:t>
      </w:r>
      <w:r>
        <w:rPr>
          <w:rFonts w:hint="eastAsia" w:ascii="宋体" w:hAnsi="宋体" w:cs="宋体"/>
          <w:sz w:val="28"/>
        </w:rPr>
        <w:t>（电子签章或电子签名）</w:t>
      </w:r>
    </w:p>
    <w:p w14:paraId="5FEAA1A9">
      <w:pPr>
        <w:pStyle w:val="6"/>
        <w:spacing w:line="360" w:lineRule="auto"/>
        <w:jc w:val="center"/>
        <w:rPr>
          <w:rFonts w:hint="eastAsia" w:ascii="宋体" w:hAnsi="宋体" w:cs="宋体"/>
          <w:sz w:val="28"/>
        </w:rPr>
      </w:pPr>
      <w:r>
        <w:rPr>
          <w:rFonts w:hint="eastAsia" w:ascii="宋体" w:hAnsi="宋体" w:cs="宋体"/>
          <w:sz w:val="28"/>
        </w:rPr>
        <w:t>日期:</w:t>
      </w:r>
      <w:r>
        <w:rPr>
          <w:rFonts w:hint="eastAsia" w:ascii="宋体" w:hAnsi="宋体" w:cs="宋体"/>
          <w:sz w:val="28"/>
          <w:u w:val="single"/>
        </w:rPr>
        <w:t xml:space="preserve">        </w:t>
      </w:r>
      <w:r>
        <w:rPr>
          <w:rFonts w:hint="eastAsia" w:ascii="宋体" w:hAnsi="宋体" w:cs="宋体"/>
          <w:sz w:val="28"/>
        </w:rPr>
        <w:t>年</w:t>
      </w:r>
      <w:r>
        <w:rPr>
          <w:rFonts w:hint="eastAsia" w:ascii="宋体" w:hAnsi="宋体" w:cs="宋体"/>
          <w:sz w:val="28"/>
          <w:u w:val="single"/>
        </w:rPr>
        <w:t xml:space="preserve">       </w:t>
      </w:r>
      <w:r>
        <w:rPr>
          <w:rFonts w:hint="eastAsia" w:ascii="宋体" w:hAnsi="宋体" w:cs="宋体"/>
          <w:sz w:val="28"/>
        </w:rPr>
        <w:t>月</w:t>
      </w:r>
      <w:r>
        <w:rPr>
          <w:rFonts w:hint="eastAsia" w:ascii="宋体" w:hAnsi="宋体" w:cs="宋体"/>
          <w:sz w:val="28"/>
          <w:u w:val="single"/>
        </w:rPr>
        <w:t xml:space="preserve">     </w:t>
      </w:r>
      <w:r>
        <w:rPr>
          <w:rFonts w:hint="eastAsia" w:ascii="宋体" w:hAnsi="宋体" w:cs="宋体"/>
          <w:sz w:val="28"/>
        </w:rPr>
        <w:t>日</w:t>
      </w:r>
    </w:p>
    <w:p w14:paraId="4748B8C5">
      <w:pPr>
        <w:shd w:val="solid" w:color="FFFFFF" w:fill="auto"/>
        <w:autoSpaceDN w:val="0"/>
        <w:spacing w:line="360" w:lineRule="auto"/>
        <w:jc w:val="center"/>
        <w:outlineLvl w:val="1"/>
        <w:rPr>
          <w:rFonts w:hint="eastAsia" w:ascii="宋体" w:hAnsi="宋体" w:cs="宋体"/>
          <w:b/>
          <w:sz w:val="32"/>
          <w:szCs w:val="32"/>
          <w:shd w:val="clear" w:color="auto" w:fill="FFFFFF"/>
        </w:rPr>
      </w:pPr>
      <w:r>
        <w:rPr>
          <w:rFonts w:hint="eastAsia" w:ascii="宋体" w:hAnsi="宋体" w:cs="宋体"/>
          <w:sz w:val="28"/>
        </w:rPr>
        <w:br w:type="page"/>
      </w:r>
      <w:bookmarkStart w:id="164" w:name="_Toc18314"/>
      <w:bookmarkStart w:id="165" w:name="_Toc15964"/>
      <w:bookmarkStart w:id="166" w:name="_Toc28608"/>
      <w:bookmarkStart w:id="167" w:name="_Toc16937"/>
      <w:r>
        <w:rPr>
          <w:rFonts w:hint="eastAsia" w:ascii="宋体" w:hAnsi="宋体" w:cs="宋体"/>
          <w:b/>
          <w:sz w:val="32"/>
          <w:szCs w:val="32"/>
          <w:shd w:val="clear" w:color="auto" w:fill="FFFFFF"/>
        </w:rPr>
        <w:t>一、投 标 函</w:t>
      </w:r>
      <w:bookmarkEnd w:id="164"/>
      <w:bookmarkEnd w:id="165"/>
      <w:bookmarkEnd w:id="166"/>
      <w:bookmarkEnd w:id="167"/>
    </w:p>
    <w:p w14:paraId="4BE53861">
      <w:pPr>
        <w:pStyle w:val="29"/>
        <w:spacing w:line="360" w:lineRule="auto"/>
        <w:rPr>
          <w:rFonts w:hint="eastAsia" w:ascii="宋体" w:hAnsi="宋体" w:cs="宋体"/>
        </w:rPr>
      </w:pPr>
    </w:p>
    <w:p w14:paraId="33B0C0C6">
      <w:pPr>
        <w:shd w:val="solid" w:color="FFFFFF" w:fill="auto"/>
        <w:autoSpaceDN w:val="0"/>
        <w:spacing w:line="360" w:lineRule="auto"/>
        <w:rPr>
          <w:rFonts w:hint="eastAsia" w:ascii="宋体" w:hAnsi="宋体" w:cs="宋体"/>
          <w:shd w:val="clear" w:color="auto" w:fill="FFFFFF"/>
        </w:rPr>
      </w:pPr>
      <w:r>
        <w:rPr>
          <w:rFonts w:hint="eastAsia" w:ascii="宋体" w:hAnsi="宋体" w:cs="宋体"/>
          <w:sz w:val="24"/>
          <w:u w:val="single"/>
          <w:shd w:val="clear" w:color="auto" w:fill="FFFFFF"/>
        </w:rPr>
        <w:t xml:space="preserve">                  </w:t>
      </w:r>
      <w:r>
        <w:rPr>
          <w:rFonts w:hint="eastAsia" w:ascii="宋体" w:hAnsi="宋体" w:cs="宋体"/>
          <w:sz w:val="24"/>
          <w:shd w:val="clear" w:color="auto" w:fill="FFFFFF"/>
        </w:rPr>
        <w:t>（采购人名称）：</w:t>
      </w:r>
    </w:p>
    <w:p w14:paraId="1EE0361C">
      <w:pPr>
        <w:shd w:val="solid" w:color="FFFFFF" w:fill="auto"/>
        <w:autoSpaceDN w:val="0"/>
        <w:spacing w:line="360" w:lineRule="auto"/>
        <w:ind w:firstLine="480"/>
        <w:rPr>
          <w:rFonts w:hint="eastAsia" w:ascii="宋体" w:hAnsi="宋体" w:cs="宋体"/>
          <w:shd w:val="clear" w:color="auto" w:fill="FFFFFF"/>
        </w:rPr>
      </w:pPr>
      <w:r>
        <w:rPr>
          <w:rFonts w:hint="eastAsia" w:ascii="宋体" w:hAnsi="宋体" w:cs="宋体"/>
          <w:sz w:val="24"/>
          <w:shd w:val="clear" w:color="auto" w:fill="FFFFFF"/>
        </w:rPr>
        <w:t>我方全面研究了“</w:t>
      </w:r>
      <w:r>
        <w:rPr>
          <w:rFonts w:hint="eastAsia" w:ascii="宋体" w:hAnsi="宋体" w:cs="宋体"/>
          <w:sz w:val="24"/>
          <w:szCs w:val="20"/>
          <w:u w:val="single"/>
          <w:shd w:val="clear" w:color="auto" w:fill="FFFFFF"/>
        </w:rPr>
        <w:t>玉溪市2026年生态环境监测能力提升项目</w:t>
      </w:r>
      <w:r>
        <w:rPr>
          <w:rFonts w:hint="eastAsia" w:ascii="宋体" w:hAnsi="宋体" w:cs="宋体"/>
          <w:sz w:val="24"/>
          <w:shd w:val="clear" w:color="auto" w:fill="FFFFFF"/>
        </w:rPr>
        <w:t>”的招标文件（项目编号：</w:t>
      </w:r>
      <w:r>
        <w:rPr>
          <w:rFonts w:hint="eastAsia" w:ascii="宋体" w:hAnsi="宋体" w:cs="宋体"/>
          <w:sz w:val="24"/>
          <w:u w:val="single"/>
          <w:shd w:val="clear" w:color="auto" w:fill="FFFFFF"/>
        </w:rPr>
        <w:t xml:space="preserve">       </w:t>
      </w:r>
      <w:r>
        <w:rPr>
          <w:rFonts w:hint="eastAsia" w:ascii="宋体" w:hAnsi="宋体" w:cs="宋体"/>
          <w:sz w:val="24"/>
          <w:shd w:val="clear" w:color="auto" w:fill="FFFFFF"/>
        </w:rPr>
        <w:t>），决定参加贵单位组织的本项目投标。我方授权</w:t>
      </w:r>
      <w:r>
        <w:rPr>
          <w:rFonts w:hint="eastAsia" w:ascii="宋体" w:hAnsi="宋体" w:cs="宋体"/>
          <w:sz w:val="24"/>
          <w:u w:val="single"/>
          <w:shd w:val="clear" w:color="auto" w:fill="FFFFFF"/>
        </w:rPr>
        <w:t>　　 （姓名、职务）</w:t>
      </w:r>
      <w:r>
        <w:rPr>
          <w:rFonts w:hint="eastAsia" w:ascii="宋体" w:hAnsi="宋体" w:cs="宋体"/>
          <w:sz w:val="24"/>
          <w:shd w:val="clear" w:color="auto" w:fill="FFFFFF"/>
        </w:rPr>
        <w:t>代表我方</w:t>
      </w:r>
      <w:r>
        <w:rPr>
          <w:rFonts w:hint="eastAsia" w:ascii="宋体" w:hAnsi="宋体" w:cs="宋体"/>
          <w:sz w:val="24"/>
          <w:u w:val="single"/>
          <w:shd w:val="clear" w:color="auto" w:fill="FFFFFF"/>
        </w:rPr>
        <w:t>（投标单位的名称）</w:t>
      </w:r>
      <w:r>
        <w:rPr>
          <w:rFonts w:hint="eastAsia" w:ascii="宋体" w:hAnsi="宋体" w:cs="宋体"/>
          <w:sz w:val="24"/>
          <w:shd w:val="clear" w:color="auto" w:fill="FFFFFF"/>
        </w:rPr>
        <w:t>全权处理本项目投标的有关事宜。</w:t>
      </w:r>
    </w:p>
    <w:p w14:paraId="1A88A345">
      <w:pPr>
        <w:shd w:val="solid" w:color="FFFFFF" w:fill="auto"/>
        <w:autoSpaceDN w:val="0"/>
        <w:spacing w:line="360" w:lineRule="auto"/>
        <w:ind w:firstLine="480"/>
        <w:rPr>
          <w:rFonts w:hint="eastAsia" w:ascii="宋体" w:hAnsi="宋体" w:cs="宋体"/>
          <w:shd w:val="clear" w:color="auto" w:fill="FFFFFF"/>
        </w:rPr>
      </w:pPr>
      <w:r>
        <w:rPr>
          <w:rFonts w:hint="eastAsia" w:ascii="宋体" w:hAnsi="宋体" w:cs="宋体"/>
          <w:sz w:val="24"/>
          <w:shd w:val="clear" w:color="auto" w:fill="FFFFFF"/>
        </w:rPr>
        <w:t>1、我方自愿按照招标文件规定的各项要求向采购人提供所需货物/服务，我方愿按“投标报价一览表”所报的投标价格承担招标文件中所规定的投标人的全部责任和义务。</w:t>
      </w:r>
    </w:p>
    <w:p w14:paraId="06EC5268">
      <w:pPr>
        <w:shd w:val="solid" w:color="FFFFFF" w:fill="auto"/>
        <w:autoSpaceDN w:val="0"/>
        <w:spacing w:line="360" w:lineRule="auto"/>
        <w:ind w:firstLine="480"/>
        <w:rPr>
          <w:rFonts w:hint="eastAsia" w:ascii="宋体" w:hAnsi="宋体" w:cs="宋体"/>
          <w:shd w:val="clear" w:color="auto" w:fill="FFFFFF"/>
        </w:rPr>
      </w:pPr>
      <w:r>
        <w:rPr>
          <w:rFonts w:hint="eastAsia" w:ascii="宋体" w:hAnsi="宋体" w:cs="宋体"/>
          <w:sz w:val="24"/>
          <w:shd w:val="clear" w:color="auto" w:fill="FFFFFF"/>
        </w:rPr>
        <w:t>2、一旦我方中标，我方将严格履行合同规定的责任和义务，保证于合同签字生效后按采购人要求完成项目内容。</w:t>
      </w:r>
    </w:p>
    <w:p w14:paraId="33220612">
      <w:pPr>
        <w:shd w:val="solid" w:color="FFFFFF" w:fill="auto"/>
        <w:autoSpaceDN w:val="0"/>
        <w:spacing w:line="360" w:lineRule="auto"/>
        <w:ind w:firstLine="480"/>
        <w:rPr>
          <w:rFonts w:hint="eastAsia" w:ascii="宋体" w:hAnsi="宋体" w:cs="宋体"/>
          <w:shd w:val="clear" w:color="auto" w:fill="FFFFFF"/>
        </w:rPr>
      </w:pPr>
      <w:r>
        <w:rPr>
          <w:rFonts w:hint="eastAsia" w:ascii="宋体" w:hAnsi="宋体" w:cs="宋体"/>
          <w:sz w:val="24"/>
          <w:shd w:val="clear" w:color="auto" w:fill="FFFFFF"/>
        </w:rPr>
        <w:t>3、我方同意按照招标文件的要求，向贵单位缴纳人民币</w:t>
      </w:r>
      <w:r>
        <w:rPr>
          <w:rFonts w:hint="eastAsia" w:ascii="宋体" w:hAnsi="宋体" w:cs="宋体"/>
          <w:sz w:val="24"/>
          <w:u w:val="single"/>
          <w:shd w:val="clear" w:color="auto" w:fill="FFFFFF"/>
        </w:rPr>
        <w:t xml:space="preserve">　　　  </w:t>
      </w:r>
      <w:r>
        <w:rPr>
          <w:rFonts w:hint="eastAsia" w:ascii="宋体" w:hAnsi="宋体" w:cs="宋体"/>
          <w:sz w:val="24"/>
          <w:shd w:val="clear" w:color="auto" w:fill="FFFFFF"/>
        </w:rPr>
        <w:t>元（大写：</w:t>
      </w:r>
      <w:r>
        <w:rPr>
          <w:rFonts w:hint="eastAsia" w:ascii="宋体" w:hAnsi="宋体" w:cs="宋体"/>
          <w:sz w:val="24"/>
          <w:u w:val="single"/>
          <w:shd w:val="clear" w:color="auto" w:fill="FFFFFF"/>
        </w:rPr>
        <w:t xml:space="preserve">　　　　　  </w:t>
      </w:r>
      <w:r>
        <w:rPr>
          <w:rFonts w:hint="eastAsia" w:ascii="宋体" w:hAnsi="宋体" w:cs="宋体"/>
          <w:sz w:val="24"/>
          <w:shd w:val="clear" w:color="auto" w:fill="FFFFFF"/>
        </w:rPr>
        <w:t>）的投标保证金。并承诺：下列任何情况发生时，我方将不要求退还投标保证金：</w:t>
      </w:r>
    </w:p>
    <w:p w14:paraId="3B4FB369">
      <w:pPr>
        <w:shd w:val="solid" w:color="FFFFFF" w:fill="auto"/>
        <w:autoSpaceDN w:val="0"/>
        <w:spacing w:line="360" w:lineRule="auto"/>
        <w:ind w:firstLine="480"/>
        <w:rPr>
          <w:rFonts w:hint="eastAsia" w:ascii="宋体" w:hAnsi="宋体" w:cs="宋体"/>
          <w:shd w:val="clear" w:color="auto" w:fill="FFFFFF"/>
        </w:rPr>
      </w:pPr>
      <w:r>
        <w:rPr>
          <w:rFonts w:hint="eastAsia" w:ascii="宋体" w:hAnsi="宋体" w:cs="宋体"/>
          <w:sz w:val="24"/>
          <w:shd w:val="clear" w:color="auto" w:fill="FFFFFF"/>
        </w:rPr>
        <w:t>（1）如果我方在投标有效期内撤回投标；</w:t>
      </w:r>
    </w:p>
    <w:p w14:paraId="7BA298EF">
      <w:pPr>
        <w:shd w:val="solid" w:color="FFFFFF" w:fill="auto"/>
        <w:autoSpaceDN w:val="0"/>
        <w:spacing w:line="360" w:lineRule="auto"/>
        <w:ind w:firstLine="482"/>
        <w:rPr>
          <w:rFonts w:hint="eastAsia" w:ascii="宋体" w:hAnsi="宋体" w:cs="宋体"/>
          <w:shd w:val="clear" w:color="auto" w:fill="FFFFFF"/>
        </w:rPr>
      </w:pPr>
      <w:r>
        <w:rPr>
          <w:rFonts w:hint="eastAsia" w:ascii="宋体" w:hAnsi="宋体" w:cs="宋体"/>
          <w:sz w:val="24"/>
          <w:shd w:val="clear" w:color="auto" w:fill="FFFFFF"/>
        </w:rPr>
        <w:t>（2）我方提供了虚假响应招标文件的投标文件；</w:t>
      </w:r>
    </w:p>
    <w:p w14:paraId="27D20834">
      <w:pPr>
        <w:shd w:val="solid" w:color="FFFFFF" w:fill="auto"/>
        <w:autoSpaceDN w:val="0"/>
        <w:spacing w:line="360" w:lineRule="auto"/>
        <w:ind w:firstLine="482"/>
        <w:rPr>
          <w:rFonts w:hint="eastAsia" w:ascii="宋体" w:hAnsi="宋体" w:cs="宋体"/>
          <w:shd w:val="clear" w:color="auto" w:fill="FFFFFF"/>
        </w:rPr>
      </w:pPr>
      <w:r>
        <w:rPr>
          <w:rFonts w:hint="eastAsia" w:ascii="宋体" w:hAnsi="宋体" w:cs="宋体"/>
          <w:sz w:val="24"/>
          <w:shd w:val="clear" w:color="auto" w:fill="FFFFFF"/>
        </w:rPr>
        <w:t>（3）在投标过程中有违规违纪行为；</w:t>
      </w:r>
    </w:p>
    <w:p w14:paraId="3F9184A3">
      <w:pPr>
        <w:shd w:val="solid" w:color="FFFFFF" w:fill="auto"/>
        <w:autoSpaceDN w:val="0"/>
        <w:spacing w:line="360" w:lineRule="auto"/>
        <w:ind w:firstLine="482"/>
        <w:rPr>
          <w:rFonts w:hint="eastAsia" w:ascii="宋体" w:hAnsi="宋体" w:cs="宋体"/>
          <w:shd w:val="clear" w:color="auto" w:fill="FFFFFF"/>
        </w:rPr>
      </w:pPr>
      <w:r>
        <w:rPr>
          <w:rFonts w:hint="eastAsia" w:ascii="宋体" w:hAnsi="宋体" w:cs="宋体"/>
          <w:sz w:val="24"/>
          <w:shd w:val="clear" w:color="auto" w:fill="FFFFFF"/>
        </w:rPr>
        <w:t>（4）我方在投标有效期内收到中标通知书后，由于我方原因未能按照招标文件要求提交履约保证金或与采购人签订并履行合同。</w:t>
      </w:r>
    </w:p>
    <w:p w14:paraId="4C9A4192">
      <w:pPr>
        <w:shd w:val="solid" w:color="FFFFFF" w:fill="auto"/>
        <w:autoSpaceDN w:val="0"/>
        <w:spacing w:line="360" w:lineRule="auto"/>
        <w:ind w:firstLine="482"/>
        <w:rPr>
          <w:rFonts w:hint="eastAsia" w:ascii="宋体" w:hAnsi="宋体" w:cs="宋体"/>
          <w:shd w:val="clear" w:color="auto" w:fill="FFFFFF"/>
        </w:rPr>
      </w:pPr>
      <w:r>
        <w:rPr>
          <w:rFonts w:hint="eastAsia" w:ascii="宋体" w:hAnsi="宋体" w:cs="宋体"/>
          <w:sz w:val="24"/>
          <w:shd w:val="clear" w:color="auto" w:fill="FFFFFF"/>
        </w:rPr>
        <w:t>4、我方严格按照招标文件的要求提交投标文件。</w:t>
      </w:r>
    </w:p>
    <w:p w14:paraId="54D26E81">
      <w:pPr>
        <w:shd w:val="solid" w:color="FFFFFF" w:fill="auto"/>
        <w:autoSpaceDN w:val="0"/>
        <w:spacing w:line="360" w:lineRule="auto"/>
        <w:ind w:firstLine="480"/>
        <w:rPr>
          <w:rFonts w:hint="eastAsia" w:ascii="宋体" w:hAnsi="宋体" w:cs="宋体"/>
          <w:shd w:val="clear" w:color="auto" w:fill="FFFFFF"/>
        </w:rPr>
      </w:pPr>
      <w:r>
        <w:rPr>
          <w:rFonts w:hint="eastAsia" w:ascii="宋体" w:hAnsi="宋体" w:cs="宋体"/>
          <w:sz w:val="24"/>
          <w:shd w:val="clear" w:color="auto" w:fill="FFFFFF"/>
        </w:rPr>
        <w:t>5、我方愿意提供贵方可能另外要求的，与投标有关的文件资料，并保证我方已提供和将要提供的文件资料是真实、准确的。</w:t>
      </w:r>
    </w:p>
    <w:p w14:paraId="27E63D5B">
      <w:pPr>
        <w:shd w:val="solid" w:color="FFFFFF" w:fill="auto"/>
        <w:autoSpaceDN w:val="0"/>
        <w:spacing w:line="360" w:lineRule="auto"/>
        <w:ind w:firstLine="480"/>
        <w:rPr>
          <w:rFonts w:hint="eastAsia" w:ascii="宋体" w:hAnsi="宋体" w:cs="宋体"/>
          <w:sz w:val="24"/>
          <w:shd w:val="clear" w:color="auto" w:fill="FFFFFF"/>
        </w:rPr>
      </w:pPr>
      <w:r>
        <w:rPr>
          <w:rFonts w:hint="eastAsia" w:ascii="宋体" w:hAnsi="宋体" w:cs="宋体"/>
          <w:sz w:val="24"/>
          <w:shd w:val="clear" w:color="auto" w:fill="FFFFFF"/>
        </w:rPr>
        <w:t>6、我方完全理解采购人不一定将合同授予最低报价的投标人的行为。</w:t>
      </w:r>
    </w:p>
    <w:p w14:paraId="46CC9484">
      <w:pPr>
        <w:shd w:val="solid" w:color="FFFFFF" w:fill="auto"/>
        <w:autoSpaceDN w:val="0"/>
        <w:spacing w:line="360" w:lineRule="auto"/>
        <w:ind w:firstLine="480"/>
        <w:rPr>
          <w:rFonts w:hint="eastAsia" w:ascii="宋体" w:hAnsi="宋体" w:cs="宋体"/>
          <w:sz w:val="24"/>
          <w:shd w:val="clear" w:color="auto" w:fill="FFFFFF"/>
        </w:rPr>
      </w:pPr>
      <w:r>
        <w:rPr>
          <w:rFonts w:hint="eastAsia" w:ascii="宋体" w:hAnsi="宋体" w:cs="宋体"/>
          <w:sz w:val="24"/>
          <w:shd w:val="clear" w:color="auto" w:fill="FFFFFF"/>
        </w:rPr>
        <w:t>7、投标有效期：</w:t>
      </w:r>
      <w:r>
        <w:rPr>
          <w:rFonts w:hint="eastAsia" w:ascii="宋体" w:hAnsi="宋体" w:cs="宋体"/>
          <w:sz w:val="24"/>
          <w:u w:val="single"/>
          <w:shd w:val="clear" w:color="auto" w:fill="FFFFFF"/>
        </w:rPr>
        <w:t xml:space="preserve">                    </w:t>
      </w:r>
      <w:r>
        <w:rPr>
          <w:rFonts w:hint="eastAsia" w:ascii="宋体" w:hAnsi="宋体" w:cs="宋体"/>
          <w:sz w:val="24"/>
          <w:shd w:val="clear" w:color="auto" w:fill="FFFFFF"/>
        </w:rPr>
        <w:t>。</w:t>
      </w:r>
    </w:p>
    <w:p w14:paraId="316A583B">
      <w:pPr>
        <w:pStyle w:val="6"/>
        <w:spacing w:after="0" w:line="360" w:lineRule="auto"/>
        <w:ind w:firstLine="420" w:firstLineChars="200"/>
        <w:rPr>
          <w:rFonts w:hint="eastAsia" w:ascii="宋体" w:hAnsi="宋体" w:cs="宋体"/>
          <w:sz w:val="24"/>
          <w:shd w:val="clear" w:color="auto" w:fill="FFFFFF"/>
        </w:rPr>
      </w:pPr>
      <w:r>
        <w:rPr>
          <w:rFonts w:hint="eastAsia" w:ascii="宋体" w:hAnsi="宋体" w:cs="宋体"/>
        </w:rPr>
        <w:t>......</w:t>
      </w:r>
    </w:p>
    <w:p w14:paraId="57C7A5D3">
      <w:pPr>
        <w:shd w:val="solid" w:color="FFFFFF" w:fill="auto"/>
        <w:autoSpaceDN w:val="0"/>
        <w:spacing w:line="360" w:lineRule="auto"/>
        <w:ind w:firstLine="480"/>
        <w:rPr>
          <w:rFonts w:hint="eastAsia" w:ascii="宋体" w:hAnsi="宋体" w:cs="宋体"/>
          <w:sz w:val="24"/>
          <w:shd w:val="clear" w:color="auto" w:fill="FFFFFF"/>
        </w:rPr>
      </w:pPr>
      <w:r>
        <w:rPr>
          <w:rFonts w:hint="eastAsia" w:ascii="宋体" w:hAnsi="宋体" w:cs="宋体"/>
          <w:sz w:val="24"/>
          <w:shd w:val="clear" w:color="auto" w:fill="FFFFFF"/>
        </w:rPr>
        <w:t>投标人名称:</w:t>
      </w:r>
      <w:r>
        <w:rPr>
          <w:rFonts w:hint="eastAsia" w:ascii="宋体" w:hAnsi="宋体" w:cs="宋体"/>
          <w:sz w:val="24"/>
          <w:u w:val="single"/>
          <w:shd w:val="clear" w:color="auto" w:fill="FFFFFF"/>
        </w:rPr>
        <w:t xml:space="preserve">                   </w:t>
      </w:r>
      <w:r>
        <w:rPr>
          <w:rFonts w:hint="eastAsia" w:ascii="宋体" w:hAnsi="宋体" w:cs="宋体"/>
          <w:sz w:val="24"/>
          <w:shd w:val="clear" w:color="auto" w:fill="FFFFFF"/>
        </w:rPr>
        <w:t>（电子签章）</w:t>
      </w:r>
    </w:p>
    <w:p w14:paraId="21317A0D">
      <w:pPr>
        <w:shd w:val="solid" w:color="FFFFFF" w:fill="auto"/>
        <w:autoSpaceDN w:val="0"/>
        <w:spacing w:line="360" w:lineRule="auto"/>
        <w:ind w:firstLine="480"/>
        <w:rPr>
          <w:rFonts w:hint="eastAsia" w:ascii="宋体" w:hAnsi="宋体" w:cs="宋体"/>
          <w:sz w:val="24"/>
          <w:shd w:val="clear" w:color="auto" w:fill="FFFFFF"/>
        </w:rPr>
      </w:pPr>
      <w:r>
        <w:rPr>
          <w:rFonts w:hint="eastAsia" w:ascii="宋体" w:hAnsi="宋体" w:cs="宋体"/>
          <w:sz w:val="24"/>
          <w:shd w:val="clear" w:color="auto" w:fill="FFFFFF"/>
        </w:rPr>
        <w:t>法定代表人或其委托代理人:</w:t>
      </w:r>
      <w:r>
        <w:rPr>
          <w:rFonts w:hint="eastAsia" w:ascii="宋体" w:hAnsi="宋体" w:cs="宋体"/>
          <w:sz w:val="24"/>
          <w:u w:val="single"/>
          <w:shd w:val="clear" w:color="auto" w:fill="FFFFFF"/>
        </w:rPr>
        <w:t xml:space="preserve">                   </w:t>
      </w:r>
      <w:r>
        <w:rPr>
          <w:rFonts w:hint="eastAsia" w:ascii="宋体" w:hAnsi="宋体" w:cs="宋体"/>
          <w:sz w:val="24"/>
          <w:shd w:val="clear" w:color="auto" w:fill="FFFFFF"/>
        </w:rPr>
        <w:t xml:space="preserve">（电子签章或电子签名）        </w:t>
      </w:r>
    </w:p>
    <w:p w14:paraId="02241BDE">
      <w:pPr>
        <w:shd w:val="solid" w:color="FFFFFF" w:fill="auto"/>
        <w:autoSpaceDN w:val="0"/>
        <w:spacing w:line="360" w:lineRule="auto"/>
        <w:ind w:firstLine="480"/>
        <w:rPr>
          <w:rFonts w:hint="eastAsia" w:ascii="宋体" w:hAnsi="宋体" w:cs="宋体"/>
          <w:shd w:val="clear" w:color="auto" w:fill="FFFFFF"/>
        </w:rPr>
      </w:pPr>
      <w:r>
        <w:rPr>
          <w:rFonts w:hint="eastAsia" w:ascii="宋体" w:hAnsi="宋体" w:cs="宋体"/>
          <w:sz w:val="24"/>
          <w:shd w:val="clear" w:color="auto" w:fill="FFFFFF"/>
        </w:rPr>
        <w:t>通讯地址：</w:t>
      </w:r>
      <w:r>
        <w:rPr>
          <w:rFonts w:hint="eastAsia" w:ascii="宋体" w:hAnsi="宋体" w:cs="宋体"/>
          <w:sz w:val="24"/>
          <w:u w:val="single"/>
          <w:shd w:val="clear" w:color="auto" w:fill="FFFFFF"/>
        </w:rPr>
        <w:t xml:space="preserve">　　　　　　　　　　　　　 </w:t>
      </w:r>
    </w:p>
    <w:p w14:paraId="3E4DD0A4">
      <w:pPr>
        <w:shd w:val="solid" w:color="FFFFFF" w:fill="auto"/>
        <w:autoSpaceDN w:val="0"/>
        <w:spacing w:line="360" w:lineRule="auto"/>
        <w:ind w:firstLine="480"/>
        <w:rPr>
          <w:rFonts w:hint="eastAsia" w:ascii="宋体" w:hAnsi="宋体" w:cs="宋体"/>
          <w:shd w:val="clear" w:color="auto" w:fill="FFFFFF"/>
        </w:rPr>
      </w:pPr>
      <w:r>
        <w:rPr>
          <w:rFonts w:hint="eastAsia" w:ascii="宋体" w:hAnsi="宋体" w:cs="宋体"/>
          <w:sz w:val="24"/>
          <w:shd w:val="clear" w:color="auto" w:fill="FFFFFF"/>
        </w:rPr>
        <w:t>联系电话（手机号）：</w:t>
      </w:r>
      <w:r>
        <w:rPr>
          <w:rFonts w:hint="eastAsia" w:ascii="宋体" w:hAnsi="宋体" w:cs="宋体"/>
          <w:sz w:val="24"/>
          <w:u w:val="single"/>
          <w:shd w:val="clear" w:color="auto" w:fill="FFFFFF"/>
        </w:rPr>
        <w:t xml:space="preserve">　　　　　　　　　　 </w:t>
      </w:r>
    </w:p>
    <w:p w14:paraId="4A49F7E0">
      <w:pPr>
        <w:shd w:val="solid" w:color="FFFFFF" w:fill="auto"/>
        <w:autoSpaceDN w:val="0"/>
        <w:spacing w:line="360" w:lineRule="auto"/>
        <w:ind w:firstLine="480"/>
        <w:rPr>
          <w:rFonts w:hint="eastAsia" w:ascii="宋体" w:hAnsi="宋体" w:cs="宋体"/>
          <w:shd w:val="clear" w:color="auto" w:fill="FFFFFF"/>
        </w:rPr>
      </w:pPr>
      <w:r>
        <w:rPr>
          <w:rFonts w:hint="eastAsia" w:ascii="宋体" w:hAnsi="宋体" w:cs="宋体"/>
          <w:sz w:val="24"/>
          <w:shd w:val="clear" w:color="auto" w:fill="FFFFFF"/>
        </w:rPr>
        <w:t>座机：</w:t>
      </w:r>
      <w:r>
        <w:rPr>
          <w:rFonts w:hint="eastAsia" w:ascii="宋体" w:hAnsi="宋体" w:cs="宋体"/>
          <w:sz w:val="24"/>
          <w:u w:val="single"/>
          <w:shd w:val="clear" w:color="auto" w:fill="FFFFFF"/>
        </w:rPr>
        <w:t xml:space="preserve">　　　　　　　　　　　　　 </w:t>
      </w:r>
    </w:p>
    <w:p w14:paraId="12B7241E">
      <w:pPr>
        <w:shd w:val="solid" w:color="FFFFFF" w:fill="auto"/>
        <w:autoSpaceDN w:val="0"/>
        <w:spacing w:line="360" w:lineRule="auto"/>
        <w:ind w:firstLine="480"/>
        <w:rPr>
          <w:rFonts w:hint="eastAsia" w:ascii="宋体" w:hAnsi="宋体" w:cs="宋体"/>
        </w:rPr>
      </w:pPr>
      <w:r>
        <w:rPr>
          <w:rFonts w:hint="eastAsia" w:ascii="宋体" w:hAnsi="宋体" w:cs="宋体"/>
          <w:sz w:val="24"/>
        </w:rPr>
        <w:t>日    期</w:t>
      </w:r>
      <w:r>
        <w:rPr>
          <w:rFonts w:hint="eastAsia" w:ascii="宋体" w:hAnsi="宋体" w:cs="宋体"/>
          <w:sz w:val="24"/>
          <w:shd w:val="clear" w:color="auto" w:fill="FFFFFF"/>
        </w:rPr>
        <w:t>：</w:t>
      </w: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 xml:space="preserve">月 </w:t>
      </w:r>
      <w:r>
        <w:rPr>
          <w:rFonts w:hint="eastAsia" w:ascii="宋体" w:hAnsi="宋体" w:cs="宋体"/>
          <w:sz w:val="24"/>
          <w:u w:val="single"/>
        </w:rPr>
        <w:t xml:space="preserve">        </w:t>
      </w:r>
      <w:r>
        <w:rPr>
          <w:rFonts w:hint="eastAsia" w:ascii="宋体" w:hAnsi="宋体" w:cs="宋体"/>
          <w:sz w:val="24"/>
        </w:rPr>
        <w:t>日</w:t>
      </w:r>
    </w:p>
    <w:p w14:paraId="16F16147">
      <w:pPr>
        <w:rPr>
          <w:rFonts w:hint="eastAsia" w:ascii="宋体" w:hAnsi="宋体" w:cs="宋体"/>
          <w:b/>
          <w:sz w:val="32"/>
          <w:szCs w:val="32"/>
          <w:shd w:val="clear" w:color="auto" w:fill="FFFFFF"/>
        </w:rPr>
      </w:pPr>
      <w:bookmarkStart w:id="168" w:name="_Toc27908"/>
      <w:bookmarkStart w:id="169" w:name="_Toc4631"/>
      <w:bookmarkStart w:id="170" w:name="_Toc18194"/>
      <w:bookmarkStart w:id="171" w:name="_Toc21908"/>
      <w:bookmarkStart w:id="172" w:name="_Toc29426"/>
      <w:bookmarkStart w:id="173" w:name="_Toc3346"/>
      <w:bookmarkStart w:id="174" w:name="_Toc15973"/>
      <w:bookmarkStart w:id="175" w:name="_Toc20026"/>
      <w:bookmarkStart w:id="176" w:name="_Toc30762"/>
      <w:r>
        <w:rPr>
          <w:rFonts w:hint="eastAsia" w:ascii="宋体" w:hAnsi="宋体" w:cs="宋体"/>
          <w:b/>
          <w:sz w:val="32"/>
          <w:szCs w:val="32"/>
          <w:shd w:val="clear" w:color="auto" w:fill="FFFFFF"/>
        </w:rPr>
        <w:br w:type="page"/>
      </w:r>
    </w:p>
    <w:p w14:paraId="452D941E">
      <w:pPr>
        <w:tabs>
          <w:tab w:val="right" w:pos="8306"/>
        </w:tabs>
        <w:spacing w:after="156" w:line="360" w:lineRule="auto"/>
        <w:jc w:val="center"/>
        <w:outlineLvl w:val="1"/>
        <w:rPr>
          <w:rFonts w:hint="eastAsia" w:ascii="宋体" w:hAnsi="宋体" w:cs="宋体"/>
          <w:sz w:val="32"/>
          <w:szCs w:val="32"/>
        </w:rPr>
      </w:pPr>
      <w:r>
        <w:rPr>
          <w:rFonts w:hint="eastAsia" w:ascii="宋体" w:hAnsi="宋体" w:cs="宋体"/>
          <w:b/>
          <w:sz w:val="32"/>
          <w:szCs w:val="32"/>
          <w:shd w:val="clear" w:color="auto" w:fill="FFFFFF"/>
        </w:rPr>
        <w:t>二、法定代表人身份证明书</w:t>
      </w:r>
      <w:bookmarkEnd w:id="168"/>
      <w:bookmarkEnd w:id="169"/>
      <w:bookmarkEnd w:id="170"/>
      <w:bookmarkEnd w:id="171"/>
      <w:bookmarkEnd w:id="172"/>
      <w:bookmarkEnd w:id="173"/>
      <w:bookmarkEnd w:id="174"/>
      <w:bookmarkEnd w:id="175"/>
      <w:bookmarkEnd w:id="176"/>
    </w:p>
    <w:p w14:paraId="00982D00">
      <w:pPr>
        <w:tabs>
          <w:tab w:val="right" w:pos="8306"/>
        </w:tabs>
        <w:spacing w:line="360" w:lineRule="auto"/>
        <w:rPr>
          <w:rFonts w:hint="eastAsia" w:ascii="宋体" w:hAnsi="宋体" w:cs="宋体"/>
          <w:sz w:val="24"/>
        </w:rPr>
      </w:pPr>
    </w:p>
    <w:p w14:paraId="69031444">
      <w:pPr>
        <w:tabs>
          <w:tab w:val="right" w:pos="8306"/>
        </w:tabs>
        <w:spacing w:line="360" w:lineRule="auto"/>
        <w:rPr>
          <w:rFonts w:hint="eastAsia" w:ascii="宋体" w:hAnsi="宋体" w:cs="宋体"/>
          <w:sz w:val="24"/>
        </w:rPr>
      </w:pPr>
    </w:p>
    <w:p w14:paraId="362D688B">
      <w:pPr>
        <w:tabs>
          <w:tab w:val="right" w:pos="8306"/>
        </w:tabs>
        <w:spacing w:line="360" w:lineRule="auto"/>
        <w:rPr>
          <w:rFonts w:hint="eastAsia" w:ascii="宋体" w:hAnsi="宋体" w:cs="宋体"/>
          <w:sz w:val="24"/>
          <w:u w:val="single"/>
        </w:rPr>
      </w:pPr>
      <w:r>
        <w:rPr>
          <w:rFonts w:hint="eastAsia" w:ascii="宋体" w:hAnsi="宋体" w:cs="宋体"/>
          <w:sz w:val="24"/>
        </w:rPr>
        <w:t>单位名称：</w:t>
      </w:r>
      <w:r>
        <w:rPr>
          <w:rFonts w:hint="eastAsia" w:ascii="宋体" w:hAnsi="宋体" w:cs="宋体"/>
          <w:sz w:val="24"/>
          <w:u w:val="single"/>
        </w:rPr>
        <w:t xml:space="preserve">                               </w:t>
      </w:r>
    </w:p>
    <w:p w14:paraId="07107AC2">
      <w:pPr>
        <w:tabs>
          <w:tab w:val="right" w:pos="8306"/>
        </w:tabs>
        <w:spacing w:line="360" w:lineRule="auto"/>
        <w:rPr>
          <w:rFonts w:hint="eastAsia" w:ascii="宋体" w:hAnsi="宋体" w:cs="宋体"/>
          <w:sz w:val="24"/>
          <w:u w:val="single"/>
        </w:rPr>
      </w:pPr>
      <w:r>
        <w:rPr>
          <w:rFonts w:hint="eastAsia" w:ascii="宋体" w:hAnsi="宋体" w:cs="宋体"/>
          <w:sz w:val="24"/>
        </w:rPr>
        <w:t>单位性质：</w:t>
      </w:r>
      <w:r>
        <w:rPr>
          <w:rFonts w:hint="eastAsia" w:ascii="宋体" w:hAnsi="宋体" w:cs="宋体"/>
          <w:sz w:val="24"/>
          <w:u w:val="single"/>
        </w:rPr>
        <w:t xml:space="preserve">                               </w:t>
      </w:r>
    </w:p>
    <w:p w14:paraId="1E422B49">
      <w:pPr>
        <w:tabs>
          <w:tab w:val="right" w:pos="8306"/>
        </w:tabs>
        <w:spacing w:line="360" w:lineRule="auto"/>
        <w:rPr>
          <w:rFonts w:hint="eastAsia" w:ascii="宋体" w:hAnsi="宋体" w:cs="宋体"/>
          <w:sz w:val="24"/>
          <w:u w:val="single"/>
        </w:rPr>
      </w:pPr>
      <w:r>
        <w:rPr>
          <w:rFonts w:hint="eastAsia" w:ascii="宋体" w:hAnsi="宋体" w:cs="宋体"/>
          <w:sz w:val="24"/>
        </w:rPr>
        <w:t>地址：</w:t>
      </w:r>
      <w:r>
        <w:rPr>
          <w:rFonts w:hint="eastAsia" w:ascii="宋体" w:hAnsi="宋体" w:cs="宋体"/>
          <w:sz w:val="24"/>
          <w:u w:val="single"/>
        </w:rPr>
        <w:t xml:space="preserve">                                   </w:t>
      </w:r>
    </w:p>
    <w:p w14:paraId="6B835BF2">
      <w:pPr>
        <w:tabs>
          <w:tab w:val="right" w:pos="8306"/>
        </w:tabs>
        <w:spacing w:line="360" w:lineRule="auto"/>
        <w:rPr>
          <w:rFonts w:hint="eastAsia" w:ascii="宋体" w:hAnsi="宋体" w:cs="宋体"/>
          <w:sz w:val="24"/>
        </w:rPr>
      </w:pPr>
      <w:r>
        <w:rPr>
          <w:rFonts w:hint="eastAsia" w:ascii="宋体" w:hAnsi="宋体" w:cs="宋体"/>
          <w:sz w:val="24"/>
        </w:rPr>
        <w:t>成立时间：</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 xml:space="preserve"> 月</w:t>
      </w:r>
      <w:r>
        <w:rPr>
          <w:rFonts w:hint="eastAsia" w:ascii="宋体" w:hAnsi="宋体" w:cs="宋体"/>
          <w:sz w:val="24"/>
          <w:u w:val="single"/>
        </w:rPr>
        <w:t xml:space="preserve">      </w:t>
      </w:r>
      <w:r>
        <w:rPr>
          <w:rFonts w:hint="eastAsia" w:ascii="宋体" w:hAnsi="宋体" w:cs="宋体"/>
          <w:sz w:val="24"/>
        </w:rPr>
        <w:t xml:space="preserve">日 </w:t>
      </w:r>
    </w:p>
    <w:p w14:paraId="296B373F">
      <w:pPr>
        <w:tabs>
          <w:tab w:val="right" w:pos="8306"/>
        </w:tabs>
        <w:spacing w:line="360" w:lineRule="auto"/>
        <w:rPr>
          <w:rFonts w:hint="eastAsia" w:ascii="宋体" w:hAnsi="宋体" w:cs="宋体"/>
          <w:sz w:val="24"/>
          <w:u w:val="single"/>
        </w:rPr>
      </w:pPr>
      <w:r>
        <w:rPr>
          <w:rFonts w:hint="eastAsia" w:ascii="宋体" w:hAnsi="宋体" w:cs="宋体"/>
          <w:sz w:val="24"/>
        </w:rPr>
        <w:t>经营期限：</w:t>
      </w:r>
      <w:r>
        <w:rPr>
          <w:rFonts w:hint="eastAsia" w:ascii="宋体" w:hAnsi="宋体" w:cs="宋体"/>
          <w:sz w:val="24"/>
          <w:u w:val="single"/>
        </w:rPr>
        <w:t xml:space="preserve">                              </w:t>
      </w:r>
    </w:p>
    <w:p w14:paraId="113327C2">
      <w:pPr>
        <w:tabs>
          <w:tab w:val="right" w:pos="8306"/>
        </w:tabs>
        <w:spacing w:line="360" w:lineRule="auto"/>
        <w:rPr>
          <w:rFonts w:hint="eastAsia" w:ascii="宋体" w:hAnsi="宋体" w:cs="宋体"/>
          <w:sz w:val="24"/>
          <w:u w:val="single"/>
        </w:rPr>
      </w:pPr>
      <w:r>
        <w:rPr>
          <w:rFonts w:hint="eastAsia" w:ascii="宋体" w:hAnsi="宋体" w:cs="宋体"/>
          <w:sz w:val="24"/>
        </w:rPr>
        <w:t>姓名：</w:t>
      </w:r>
      <w:r>
        <w:rPr>
          <w:rFonts w:hint="eastAsia" w:ascii="宋体" w:hAnsi="宋体" w:cs="宋体"/>
          <w:sz w:val="24"/>
          <w:u w:val="single"/>
        </w:rPr>
        <w:t xml:space="preserve">       </w:t>
      </w:r>
      <w:r>
        <w:rPr>
          <w:rFonts w:hint="eastAsia" w:ascii="宋体" w:hAnsi="宋体" w:cs="宋体"/>
          <w:sz w:val="24"/>
        </w:rPr>
        <w:t>性别：</w:t>
      </w:r>
      <w:r>
        <w:rPr>
          <w:rFonts w:hint="eastAsia" w:ascii="宋体" w:hAnsi="宋体" w:cs="宋体"/>
          <w:sz w:val="24"/>
          <w:u w:val="single"/>
        </w:rPr>
        <w:t xml:space="preserve">      </w:t>
      </w:r>
      <w:r>
        <w:rPr>
          <w:rFonts w:hint="eastAsia" w:ascii="宋体" w:hAnsi="宋体" w:cs="宋体"/>
          <w:sz w:val="24"/>
        </w:rPr>
        <w:t>年龄：</w:t>
      </w:r>
      <w:r>
        <w:rPr>
          <w:rFonts w:hint="eastAsia" w:ascii="宋体" w:hAnsi="宋体" w:cs="宋体"/>
          <w:sz w:val="24"/>
          <w:u w:val="single"/>
        </w:rPr>
        <w:t xml:space="preserve">       </w:t>
      </w:r>
      <w:r>
        <w:rPr>
          <w:rFonts w:hint="eastAsia" w:ascii="宋体" w:hAnsi="宋体" w:cs="宋体"/>
          <w:sz w:val="24"/>
        </w:rPr>
        <w:t>职务：</w:t>
      </w:r>
      <w:r>
        <w:rPr>
          <w:rFonts w:hint="eastAsia" w:ascii="宋体" w:hAnsi="宋体" w:cs="宋体"/>
          <w:sz w:val="24"/>
          <w:u w:val="single"/>
        </w:rPr>
        <w:t xml:space="preserve">       </w:t>
      </w:r>
    </w:p>
    <w:p w14:paraId="7288F5F8">
      <w:pPr>
        <w:tabs>
          <w:tab w:val="right" w:pos="8306"/>
        </w:tabs>
        <w:spacing w:line="360" w:lineRule="auto"/>
        <w:rPr>
          <w:rFonts w:hint="eastAsia" w:ascii="宋体" w:hAnsi="宋体" w:cs="宋体"/>
          <w:sz w:val="24"/>
        </w:rPr>
      </w:pPr>
      <w:r>
        <w:rPr>
          <w:rFonts w:hint="eastAsia" w:ascii="宋体" w:hAnsi="宋体" w:cs="宋体"/>
          <w:sz w:val="24"/>
        </w:rPr>
        <w:t>系</w:t>
      </w:r>
      <w:r>
        <w:rPr>
          <w:rFonts w:hint="eastAsia" w:ascii="宋体" w:hAnsi="宋体" w:cs="宋体"/>
          <w:sz w:val="24"/>
          <w:u w:val="single"/>
        </w:rPr>
        <w:t xml:space="preserve">        （投标人的单位名称）</w:t>
      </w:r>
      <w:r>
        <w:rPr>
          <w:rFonts w:hint="eastAsia" w:ascii="宋体" w:hAnsi="宋体" w:cs="宋体"/>
          <w:sz w:val="24"/>
        </w:rPr>
        <w:t>的法定代表人。</w:t>
      </w:r>
    </w:p>
    <w:p w14:paraId="0B5129A7">
      <w:pPr>
        <w:tabs>
          <w:tab w:val="right" w:pos="8306"/>
        </w:tabs>
        <w:spacing w:line="360" w:lineRule="auto"/>
        <w:rPr>
          <w:rFonts w:hint="eastAsia" w:ascii="宋体" w:hAnsi="宋体" w:cs="宋体"/>
          <w:sz w:val="24"/>
        </w:rPr>
      </w:pPr>
      <w:r>
        <w:rPr>
          <w:rFonts w:hint="eastAsia" w:ascii="宋体" w:hAnsi="宋体" w:cs="宋体"/>
          <w:sz w:val="24"/>
        </w:rPr>
        <w:t xml:space="preserve">        特此证明。</w:t>
      </w:r>
    </w:p>
    <w:p w14:paraId="43B79734">
      <w:pPr>
        <w:tabs>
          <w:tab w:val="right" w:pos="8306"/>
        </w:tabs>
        <w:spacing w:line="360" w:lineRule="auto"/>
        <w:rPr>
          <w:rFonts w:hint="eastAsia" w:ascii="宋体" w:hAnsi="宋体" w:cs="宋体"/>
          <w:sz w:val="24"/>
        </w:rPr>
      </w:pPr>
    </w:p>
    <w:p w14:paraId="75306DD2">
      <w:pPr>
        <w:pStyle w:val="29"/>
        <w:spacing w:line="360" w:lineRule="auto"/>
        <w:rPr>
          <w:rFonts w:hint="eastAsia" w:ascii="宋体" w:hAnsi="宋体" w:cs="宋体"/>
        </w:rPr>
      </w:pPr>
    </w:p>
    <w:p w14:paraId="5DF1F983">
      <w:pPr>
        <w:tabs>
          <w:tab w:val="right" w:pos="8306"/>
        </w:tabs>
        <w:spacing w:line="360" w:lineRule="auto"/>
        <w:rPr>
          <w:rFonts w:hint="eastAsia" w:ascii="宋体" w:hAnsi="宋体" w:cs="宋体"/>
          <w:sz w:val="24"/>
        </w:rPr>
      </w:pPr>
      <w:r>
        <w:rPr>
          <w:rFonts w:hint="eastAsia" w:ascii="宋体" w:hAnsi="宋体" w:cs="宋体"/>
          <w:sz w:val="24"/>
        </w:rPr>
        <w:t xml:space="preserve">                      投标人名称：</w:t>
      </w:r>
      <w:r>
        <w:rPr>
          <w:rFonts w:hint="eastAsia" w:ascii="宋体" w:hAnsi="宋体" w:cs="宋体"/>
          <w:sz w:val="24"/>
          <w:u w:val="single"/>
        </w:rPr>
        <w:t xml:space="preserve">                     </w:t>
      </w:r>
      <w:r>
        <w:rPr>
          <w:rFonts w:hint="eastAsia" w:ascii="宋体" w:hAnsi="宋体" w:cs="宋体"/>
          <w:sz w:val="24"/>
        </w:rPr>
        <w:t>（电子签章）</w:t>
      </w:r>
    </w:p>
    <w:p w14:paraId="26FE09E8">
      <w:pPr>
        <w:tabs>
          <w:tab w:val="right" w:pos="8306"/>
        </w:tabs>
        <w:spacing w:line="360" w:lineRule="auto"/>
        <w:rPr>
          <w:rFonts w:hint="eastAsia" w:ascii="宋体" w:hAnsi="宋体" w:cs="宋体"/>
          <w:sz w:val="24"/>
        </w:rPr>
      </w:pPr>
      <w:r>
        <w:rPr>
          <w:rFonts w:hint="eastAsia" w:ascii="宋体" w:hAnsi="宋体" w:cs="宋体"/>
          <w:sz w:val="24"/>
        </w:rPr>
        <w:t xml:space="preserve">                        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7ACED1A9">
      <w:pPr>
        <w:tabs>
          <w:tab w:val="right" w:pos="8306"/>
        </w:tabs>
        <w:spacing w:line="360" w:lineRule="auto"/>
        <w:rPr>
          <w:rFonts w:hint="eastAsia" w:ascii="宋体" w:hAnsi="宋体" w:cs="宋体"/>
          <w:sz w:val="24"/>
        </w:rPr>
      </w:pPr>
    </w:p>
    <w:p w14:paraId="6B4E2C10">
      <w:pPr>
        <w:tabs>
          <w:tab w:val="right" w:pos="8306"/>
        </w:tabs>
        <w:spacing w:line="360" w:lineRule="auto"/>
        <w:ind w:firstLine="284"/>
        <w:rPr>
          <w:rFonts w:hint="eastAsia" w:ascii="宋体" w:hAnsi="宋体" w:cs="宋体"/>
          <w:b/>
          <w:sz w:val="24"/>
        </w:rPr>
      </w:pPr>
      <w:r>
        <w:rPr>
          <w:rFonts w:hint="eastAsia" w:ascii="宋体" w:hAnsi="宋体" w:cs="宋体"/>
          <w:b/>
          <w:sz w:val="24"/>
        </w:rPr>
        <w:t>附：法定代表人身份证复印件正、反面</w:t>
      </w:r>
    </w:p>
    <w:tbl>
      <w:tblPr>
        <w:tblStyle w:val="23"/>
        <w:tblW w:w="0" w:type="auto"/>
        <w:jc w:val="center"/>
        <w:tblLayout w:type="fixed"/>
        <w:tblCellMar>
          <w:top w:w="0" w:type="dxa"/>
          <w:left w:w="108" w:type="dxa"/>
          <w:bottom w:w="0" w:type="dxa"/>
          <w:right w:w="108" w:type="dxa"/>
        </w:tblCellMar>
      </w:tblPr>
      <w:tblGrid>
        <w:gridCol w:w="4620"/>
        <w:gridCol w:w="4305"/>
      </w:tblGrid>
      <w:tr w14:paraId="077E9F2A">
        <w:tblPrEx>
          <w:tblCellMar>
            <w:top w:w="0" w:type="dxa"/>
            <w:left w:w="108" w:type="dxa"/>
            <w:bottom w:w="0" w:type="dxa"/>
            <w:right w:w="108" w:type="dxa"/>
          </w:tblCellMar>
        </w:tblPrEx>
        <w:trPr>
          <w:trHeight w:val="2918" w:hRule="atLeast"/>
          <w:jc w:val="center"/>
        </w:trPr>
        <w:tc>
          <w:tcPr>
            <w:tcW w:w="4620" w:type="dxa"/>
            <w:tcBorders>
              <w:top w:val="single" w:color="000000" w:sz="4" w:space="0"/>
              <w:left w:val="single" w:color="000000" w:sz="4" w:space="0"/>
              <w:bottom w:val="single" w:color="000000" w:sz="4" w:space="0"/>
              <w:right w:val="single" w:color="000000" w:sz="4" w:space="0"/>
            </w:tcBorders>
          </w:tcPr>
          <w:p w14:paraId="30FD62C4">
            <w:pPr>
              <w:spacing w:line="360" w:lineRule="auto"/>
              <w:jc w:val="center"/>
              <w:rPr>
                <w:rFonts w:hint="eastAsia" w:ascii="宋体" w:hAnsi="宋体" w:cs="宋体"/>
                <w:kern w:val="1"/>
                <w:sz w:val="24"/>
              </w:rPr>
            </w:pPr>
          </w:p>
          <w:p w14:paraId="03C2C3E9">
            <w:pPr>
              <w:spacing w:line="360" w:lineRule="auto"/>
              <w:jc w:val="center"/>
              <w:rPr>
                <w:rFonts w:hint="eastAsia" w:ascii="宋体" w:hAnsi="宋体" w:cs="宋体"/>
                <w:kern w:val="1"/>
                <w:sz w:val="24"/>
              </w:rPr>
            </w:pPr>
          </w:p>
          <w:p w14:paraId="61E278CA">
            <w:pPr>
              <w:spacing w:line="360" w:lineRule="auto"/>
              <w:jc w:val="center"/>
              <w:rPr>
                <w:rFonts w:hint="eastAsia" w:ascii="宋体" w:hAnsi="宋体" w:cs="宋体"/>
                <w:kern w:val="1"/>
                <w:sz w:val="24"/>
              </w:rPr>
            </w:pPr>
            <w:r>
              <w:rPr>
                <w:rFonts w:hint="eastAsia" w:ascii="宋体" w:hAnsi="宋体" w:cs="宋体"/>
                <w:kern w:val="1"/>
                <w:sz w:val="24"/>
              </w:rPr>
              <w:t>附身份证复印件正面</w:t>
            </w:r>
          </w:p>
        </w:tc>
        <w:tc>
          <w:tcPr>
            <w:tcW w:w="4305" w:type="dxa"/>
            <w:tcBorders>
              <w:top w:val="single" w:color="000000" w:sz="4" w:space="0"/>
              <w:left w:val="single" w:color="000000" w:sz="4" w:space="0"/>
              <w:bottom w:val="single" w:color="000000" w:sz="4" w:space="0"/>
              <w:right w:val="single" w:color="000000" w:sz="4" w:space="0"/>
            </w:tcBorders>
          </w:tcPr>
          <w:p w14:paraId="4840D199">
            <w:pPr>
              <w:spacing w:line="360" w:lineRule="auto"/>
              <w:jc w:val="center"/>
              <w:rPr>
                <w:rFonts w:hint="eastAsia" w:ascii="宋体" w:hAnsi="宋体" w:cs="宋体"/>
                <w:kern w:val="1"/>
                <w:sz w:val="24"/>
              </w:rPr>
            </w:pPr>
          </w:p>
          <w:p w14:paraId="79B5A9DA">
            <w:pPr>
              <w:spacing w:line="360" w:lineRule="auto"/>
              <w:jc w:val="center"/>
              <w:rPr>
                <w:rFonts w:hint="eastAsia" w:ascii="宋体" w:hAnsi="宋体" w:cs="宋体"/>
                <w:kern w:val="1"/>
                <w:sz w:val="24"/>
              </w:rPr>
            </w:pPr>
          </w:p>
          <w:p w14:paraId="49421724">
            <w:pPr>
              <w:spacing w:line="360" w:lineRule="auto"/>
              <w:jc w:val="center"/>
              <w:rPr>
                <w:rFonts w:hint="eastAsia" w:ascii="宋体" w:hAnsi="宋体" w:cs="宋体"/>
                <w:kern w:val="1"/>
                <w:sz w:val="24"/>
              </w:rPr>
            </w:pPr>
            <w:r>
              <w:rPr>
                <w:rFonts w:hint="eastAsia" w:ascii="宋体" w:hAnsi="宋体" w:cs="宋体"/>
                <w:kern w:val="1"/>
                <w:sz w:val="24"/>
              </w:rPr>
              <w:t>附身份证复印件背面</w:t>
            </w:r>
          </w:p>
        </w:tc>
      </w:tr>
    </w:tbl>
    <w:p w14:paraId="1FACD4FE">
      <w:pPr>
        <w:shd w:val="solid" w:color="FFFFFF" w:fill="auto"/>
        <w:autoSpaceDN w:val="0"/>
        <w:spacing w:line="360" w:lineRule="auto"/>
        <w:jc w:val="center"/>
        <w:outlineLvl w:val="1"/>
        <w:rPr>
          <w:rFonts w:hint="eastAsia" w:ascii="宋体" w:hAnsi="宋体" w:cs="宋体"/>
          <w:sz w:val="32"/>
          <w:szCs w:val="32"/>
          <w:shd w:val="clear" w:color="auto" w:fill="FFFFFF"/>
        </w:rPr>
      </w:pPr>
      <w:r>
        <w:rPr>
          <w:rFonts w:hint="eastAsia" w:ascii="宋体" w:hAnsi="宋体" w:cs="宋体"/>
        </w:rPr>
        <w:br w:type="page"/>
      </w:r>
      <w:bookmarkStart w:id="177" w:name="_Toc13993"/>
      <w:bookmarkStart w:id="178" w:name="_Toc11455"/>
      <w:bookmarkStart w:id="179" w:name="_Toc2956"/>
      <w:bookmarkStart w:id="180" w:name="_Toc16570"/>
      <w:bookmarkStart w:id="181" w:name="_Toc28784"/>
      <w:bookmarkStart w:id="182" w:name="_Toc15027"/>
      <w:bookmarkStart w:id="183" w:name="_Toc8354"/>
      <w:r>
        <w:rPr>
          <w:rFonts w:hint="eastAsia" w:ascii="宋体" w:hAnsi="宋体" w:cs="宋体"/>
          <w:b/>
          <w:sz w:val="32"/>
          <w:szCs w:val="32"/>
          <w:shd w:val="clear" w:color="auto" w:fill="FFFFFF"/>
        </w:rPr>
        <w:t>三、法定代表人授权委托书</w:t>
      </w:r>
      <w:bookmarkEnd w:id="177"/>
      <w:bookmarkEnd w:id="178"/>
      <w:bookmarkEnd w:id="179"/>
      <w:bookmarkEnd w:id="180"/>
      <w:bookmarkEnd w:id="181"/>
      <w:bookmarkEnd w:id="182"/>
      <w:bookmarkEnd w:id="183"/>
    </w:p>
    <w:p w14:paraId="4473D9BB">
      <w:pPr>
        <w:shd w:val="solid" w:color="FFFFFF" w:fill="auto"/>
        <w:autoSpaceDN w:val="0"/>
        <w:spacing w:line="360" w:lineRule="auto"/>
        <w:rPr>
          <w:rFonts w:hint="eastAsia" w:ascii="宋体" w:hAnsi="宋体" w:cs="宋体"/>
          <w:shd w:val="clear" w:color="auto" w:fill="FFFFFF"/>
        </w:rPr>
      </w:pPr>
      <w:r>
        <w:rPr>
          <w:rFonts w:hint="eastAsia" w:ascii="宋体" w:hAnsi="宋体" w:cs="宋体"/>
          <w:b/>
          <w:shd w:val="clear" w:color="auto" w:fill="FFFFFF"/>
        </w:rPr>
        <w:t xml:space="preserve"> </w:t>
      </w:r>
    </w:p>
    <w:p w14:paraId="2B74C363">
      <w:pPr>
        <w:spacing w:before="100" w:line="360" w:lineRule="auto"/>
        <w:ind w:firstLine="480" w:firstLineChars="200"/>
        <w:rPr>
          <w:rFonts w:hint="eastAsia" w:ascii="宋体" w:hAnsi="宋体" w:cs="宋体"/>
          <w:sz w:val="24"/>
        </w:rPr>
      </w:pPr>
      <w:r>
        <w:rPr>
          <w:rFonts w:hint="eastAsia" w:ascii="宋体" w:hAnsi="宋体" w:cs="宋体"/>
          <w:sz w:val="24"/>
        </w:rPr>
        <w:t>本人</w:t>
      </w:r>
      <w:r>
        <w:rPr>
          <w:rFonts w:hint="eastAsia" w:ascii="宋体" w:hAnsi="宋体" w:cs="宋体"/>
          <w:sz w:val="24"/>
          <w:u w:val="single"/>
        </w:rPr>
        <w:t xml:space="preserve">  （法定代表人姓名）    </w:t>
      </w:r>
      <w:r>
        <w:rPr>
          <w:rFonts w:hint="eastAsia" w:ascii="宋体" w:hAnsi="宋体" w:cs="宋体"/>
          <w:sz w:val="24"/>
        </w:rPr>
        <w:t>系</w:t>
      </w:r>
      <w:r>
        <w:rPr>
          <w:rFonts w:hint="eastAsia" w:ascii="宋体" w:hAnsi="宋体" w:cs="宋体"/>
          <w:sz w:val="24"/>
          <w:u w:val="single"/>
        </w:rPr>
        <w:t xml:space="preserve">      （投标人名称）        </w:t>
      </w:r>
      <w:r>
        <w:rPr>
          <w:rFonts w:hint="eastAsia" w:ascii="宋体" w:hAnsi="宋体" w:cs="宋体"/>
          <w:sz w:val="24"/>
        </w:rPr>
        <w:t>的法定代表人，现委托</w:t>
      </w:r>
      <w:r>
        <w:rPr>
          <w:rFonts w:hint="eastAsia" w:ascii="宋体" w:hAnsi="宋体" w:cs="宋体"/>
          <w:sz w:val="24"/>
          <w:u w:val="single"/>
        </w:rPr>
        <w:t xml:space="preserve">    （姓名、职务）    </w:t>
      </w:r>
      <w:r>
        <w:rPr>
          <w:rFonts w:hint="eastAsia" w:ascii="宋体" w:hAnsi="宋体" w:cs="宋体"/>
          <w:sz w:val="24"/>
        </w:rPr>
        <w:t>为我方代理人。代理人根据授权，以我方名义签署、澄清、说明、补正、递交、撤回、修改“</w:t>
      </w:r>
      <w:r>
        <w:rPr>
          <w:rFonts w:hint="eastAsia" w:ascii="宋体" w:hAnsi="宋体" w:cs="宋体"/>
          <w:sz w:val="24"/>
          <w:szCs w:val="20"/>
          <w:shd w:val="clear" w:color="auto" w:fill="FFFFFF"/>
        </w:rPr>
        <w:t>玉溪市2026年生态环境监测能力提升项目</w:t>
      </w:r>
      <w:r>
        <w:rPr>
          <w:rFonts w:hint="eastAsia" w:ascii="宋体" w:hAnsi="宋体" w:cs="宋体"/>
          <w:sz w:val="24"/>
        </w:rPr>
        <w:t>（项目编号：</w:t>
      </w:r>
      <w:r>
        <w:rPr>
          <w:rFonts w:hint="eastAsia" w:ascii="宋体" w:hAnsi="宋体" w:cs="宋体"/>
          <w:sz w:val="24"/>
          <w:u w:val="single"/>
        </w:rPr>
        <w:t xml:space="preserve">          </w:t>
      </w:r>
      <w:r>
        <w:rPr>
          <w:rFonts w:hint="eastAsia" w:ascii="宋体" w:hAnsi="宋体" w:cs="宋体"/>
          <w:sz w:val="24"/>
        </w:rPr>
        <w:t>）” 的投标文件、签订合同和处理有关事宜，其法律后果由我方承担。</w:t>
      </w:r>
    </w:p>
    <w:p w14:paraId="39786862">
      <w:pPr>
        <w:spacing w:line="360" w:lineRule="auto"/>
        <w:ind w:firstLine="480" w:firstLineChars="200"/>
        <w:rPr>
          <w:rFonts w:hint="eastAsia" w:ascii="宋体" w:hAnsi="宋体" w:cs="宋体"/>
          <w:sz w:val="24"/>
        </w:rPr>
      </w:pPr>
      <w:r>
        <w:rPr>
          <w:rFonts w:hint="eastAsia" w:ascii="宋体" w:hAnsi="宋体" w:cs="宋体"/>
          <w:sz w:val="24"/>
        </w:rPr>
        <w:t>委托期限：</w:t>
      </w:r>
      <w:r>
        <w:rPr>
          <w:rFonts w:hint="eastAsia" w:ascii="宋体" w:hAnsi="宋体" w:cs="宋体"/>
          <w:sz w:val="24"/>
          <w:u w:val="single"/>
        </w:rPr>
        <w:t xml:space="preserve">                   </w:t>
      </w:r>
      <w:r>
        <w:rPr>
          <w:rFonts w:hint="eastAsia" w:ascii="宋体" w:hAnsi="宋体" w:cs="宋体"/>
          <w:sz w:val="24"/>
        </w:rPr>
        <w:t>。</w:t>
      </w:r>
    </w:p>
    <w:p w14:paraId="5B495303">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代理人无转委托权。</w:t>
      </w:r>
    </w:p>
    <w:p w14:paraId="27028B02">
      <w:pPr>
        <w:shd w:val="solid" w:color="FFFFFF" w:fill="auto"/>
        <w:autoSpaceDN w:val="0"/>
        <w:spacing w:line="360" w:lineRule="auto"/>
        <w:ind w:firstLine="480"/>
        <w:rPr>
          <w:rFonts w:hint="eastAsia" w:ascii="宋体" w:hAnsi="宋体" w:cs="宋体"/>
          <w:shd w:val="clear" w:color="auto" w:fill="FFFFFF"/>
        </w:rPr>
      </w:pPr>
      <w:r>
        <w:rPr>
          <w:rFonts w:hint="eastAsia" w:ascii="宋体" w:hAnsi="宋体" w:cs="宋体"/>
          <w:shd w:val="clear" w:color="auto" w:fill="FFFFFF"/>
        </w:rPr>
        <w:t xml:space="preserve"> </w:t>
      </w:r>
    </w:p>
    <w:p w14:paraId="279B9B4D">
      <w:pPr>
        <w:spacing w:line="360" w:lineRule="auto"/>
        <w:ind w:right="420"/>
        <w:jc w:val="left"/>
        <w:rPr>
          <w:rFonts w:hint="eastAsia" w:ascii="宋体" w:hAnsi="宋体" w:cs="宋体"/>
          <w:sz w:val="24"/>
        </w:rPr>
      </w:pPr>
      <w:r>
        <w:rPr>
          <w:rFonts w:hint="eastAsia" w:ascii="宋体" w:hAnsi="宋体" w:cs="宋体"/>
          <w:sz w:val="24"/>
        </w:rPr>
        <w:t xml:space="preserve">                            投标人名称：</w:t>
      </w:r>
      <w:r>
        <w:rPr>
          <w:rFonts w:hint="eastAsia" w:ascii="宋体" w:hAnsi="宋体" w:cs="宋体"/>
          <w:sz w:val="24"/>
          <w:u w:val="single"/>
        </w:rPr>
        <w:t xml:space="preserve">                </w:t>
      </w:r>
      <w:r>
        <w:rPr>
          <w:rFonts w:hint="eastAsia" w:ascii="宋体" w:hAnsi="宋体" w:cs="宋体"/>
          <w:sz w:val="24"/>
        </w:rPr>
        <w:t>（电子签章）</w:t>
      </w:r>
    </w:p>
    <w:p w14:paraId="17A1AF11">
      <w:pPr>
        <w:spacing w:line="360" w:lineRule="auto"/>
        <w:jc w:val="left"/>
        <w:rPr>
          <w:rFonts w:hint="eastAsia" w:ascii="宋体" w:hAnsi="宋体" w:cs="宋体"/>
          <w:sz w:val="24"/>
        </w:rPr>
      </w:pPr>
      <w:r>
        <w:rPr>
          <w:rFonts w:hint="eastAsia" w:ascii="宋体" w:hAnsi="宋体" w:cs="宋体"/>
          <w:sz w:val="24"/>
        </w:rPr>
        <w:t xml:space="preserve">                            法定代表人：</w:t>
      </w:r>
      <w:r>
        <w:rPr>
          <w:rFonts w:hint="eastAsia" w:ascii="宋体" w:hAnsi="宋体" w:cs="宋体"/>
          <w:sz w:val="24"/>
          <w:u w:val="single"/>
        </w:rPr>
        <w:t xml:space="preserve">          </w:t>
      </w:r>
      <w:r>
        <w:rPr>
          <w:rFonts w:hint="eastAsia" w:ascii="宋体" w:hAnsi="宋体" w:cs="宋体"/>
          <w:sz w:val="24"/>
        </w:rPr>
        <w:t>（电子签章或电子签名）</w:t>
      </w:r>
    </w:p>
    <w:p w14:paraId="30C5EDB4">
      <w:pPr>
        <w:wordWrap w:val="0"/>
        <w:spacing w:line="360" w:lineRule="auto"/>
        <w:ind w:left="3780" w:leftChars="1800"/>
        <w:jc w:val="left"/>
        <w:rPr>
          <w:rFonts w:hint="eastAsia" w:ascii="宋体" w:hAnsi="宋体" w:cs="宋体"/>
          <w:sz w:val="24"/>
        </w:rPr>
      </w:pPr>
      <w:r>
        <w:rPr>
          <w:rFonts w:hint="eastAsia" w:ascii="宋体" w:hAnsi="宋体" w:cs="宋体"/>
          <w:sz w:val="24"/>
        </w:rPr>
        <w:t>身份证号码：</w:t>
      </w:r>
      <w:r>
        <w:rPr>
          <w:rFonts w:hint="eastAsia" w:ascii="宋体" w:hAnsi="宋体" w:cs="宋体"/>
          <w:sz w:val="24"/>
          <w:u w:val="single"/>
        </w:rPr>
        <w:t xml:space="preserve">                       </w:t>
      </w:r>
    </w:p>
    <w:p w14:paraId="343CD3A7">
      <w:pPr>
        <w:spacing w:line="360" w:lineRule="auto"/>
        <w:ind w:right="420"/>
        <w:jc w:val="left"/>
        <w:rPr>
          <w:rFonts w:hint="eastAsia" w:ascii="宋体" w:hAnsi="宋体" w:cs="宋体"/>
          <w:sz w:val="24"/>
          <w:u w:val="single"/>
        </w:rPr>
      </w:pPr>
      <w:r>
        <w:rPr>
          <w:rFonts w:hint="eastAsia" w:ascii="宋体" w:hAnsi="宋体" w:cs="宋体"/>
          <w:sz w:val="24"/>
        </w:rPr>
        <w:t xml:space="preserve">                                委托代理人：</w:t>
      </w:r>
      <w:r>
        <w:rPr>
          <w:rFonts w:hint="eastAsia" w:ascii="宋体" w:hAnsi="宋体" w:cs="宋体"/>
          <w:sz w:val="24"/>
          <w:u w:val="single"/>
        </w:rPr>
        <w:t xml:space="preserve">                       </w:t>
      </w:r>
    </w:p>
    <w:p w14:paraId="1C908F87">
      <w:pPr>
        <w:spacing w:line="360" w:lineRule="auto"/>
        <w:ind w:right="420"/>
        <w:jc w:val="left"/>
        <w:rPr>
          <w:rFonts w:hint="eastAsia" w:ascii="宋体" w:hAnsi="宋体" w:cs="宋体"/>
          <w:sz w:val="24"/>
          <w:u w:val="single"/>
        </w:rPr>
      </w:pPr>
      <w:r>
        <w:rPr>
          <w:rFonts w:hint="eastAsia" w:ascii="宋体" w:hAnsi="宋体" w:cs="宋体"/>
          <w:sz w:val="24"/>
        </w:rPr>
        <w:t xml:space="preserve">                                身份证号码：</w:t>
      </w:r>
      <w:r>
        <w:rPr>
          <w:rFonts w:hint="eastAsia" w:ascii="宋体" w:hAnsi="宋体" w:cs="宋体"/>
          <w:sz w:val="24"/>
          <w:u w:val="single"/>
        </w:rPr>
        <w:t xml:space="preserve">                       </w:t>
      </w:r>
    </w:p>
    <w:p w14:paraId="70DEEA0F">
      <w:pPr>
        <w:spacing w:line="360" w:lineRule="auto"/>
        <w:ind w:right="420"/>
        <w:jc w:val="left"/>
        <w:rPr>
          <w:rFonts w:hint="eastAsia" w:ascii="宋体" w:hAnsi="宋体" w:cs="宋体"/>
          <w:sz w:val="24"/>
          <w:u w:val="single"/>
        </w:rPr>
      </w:pPr>
      <w:r>
        <w:rPr>
          <w:rFonts w:hint="eastAsia" w:ascii="宋体" w:hAnsi="宋体" w:cs="宋体"/>
          <w:sz w:val="24"/>
        </w:rPr>
        <w:t xml:space="preserve">                                联系电话(手机)：</w:t>
      </w:r>
      <w:r>
        <w:rPr>
          <w:rFonts w:hint="eastAsia" w:ascii="宋体" w:hAnsi="宋体" w:cs="宋体"/>
          <w:sz w:val="24"/>
          <w:u w:val="single"/>
        </w:rPr>
        <w:t xml:space="preserve">                   </w:t>
      </w:r>
    </w:p>
    <w:p w14:paraId="32C62E3F">
      <w:pPr>
        <w:spacing w:line="360" w:lineRule="auto"/>
        <w:ind w:right="420"/>
        <w:jc w:val="left"/>
        <w:rPr>
          <w:rFonts w:hint="eastAsia" w:ascii="宋体" w:hAnsi="宋体" w:cs="宋体"/>
          <w:sz w:val="24"/>
          <w:u w:val="single"/>
        </w:rPr>
      </w:pPr>
      <w:r>
        <w:rPr>
          <w:rFonts w:hint="eastAsia" w:ascii="宋体" w:hAnsi="宋体" w:cs="宋体"/>
          <w:sz w:val="24"/>
        </w:rPr>
        <w:t xml:space="preserve">                                座机：</w:t>
      </w:r>
      <w:r>
        <w:rPr>
          <w:rFonts w:hint="eastAsia" w:ascii="宋体" w:hAnsi="宋体" w:cs="宋体"/>
          <w:sz w:val="24"/>
          <w:u w:val="single"/>
        </w:rPr>
        <w:t xml:space="preserve">                             </w:t>
      </w:r>
    </w:p>
    <w:p w14:paraId="77E8F6D5">
      <w:pPr>
        <w:pStyle w:val="29"/>
        <w:spacing w:line="360" w:lineRule="auto"/>
        <w:jc w:val="right"/>
        <w:rPr>
          <w:rFonts w:hint="eastAsia" w:ascii="宋体" w:hAnsi="宋体" w:cs="宋体"/>
          <w:u w:val="single"/>
        </w:rPr>
      </w:pPr>
    </w:p>
    <w:p w14:paraId="3F524250">
      <w:pPr>
        <w:pStyle w:val="29"/>
        <w:spacing w:line="360" w:lineRule="auto"/>
        <w:jc w:val="right"/>
        <w:rPr>
          <w:rFonts w:hint="eastAsia" w:ascii="宋体" w:hAnsi="宋体" w:cs="宋体"/>
        </w:rPr>
      </w:pPr>
      <w:r>
        <w:rPr>
          <w:rFonts w:hint="eastAsia" w:ascii="宋体" w:hAnsi="宋体" w:cs="宋体"/>
        </w:rPr>
        <w:t>日期：</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p w14:paraId="51C6D77F">
      <w:pPr>
        <w:shd w:val="solid" w:color="FFFFFF" w:fill="auto"/>
        <w:autoSpaceDN w:val="0"/>
        <w:spacing w:line="360" w:lineRule="auto"/>
        <w:rPr>
          <w:rFonts w:hint="eastAsia" w:ascii="宋体" w:hAnsi="宋体" w:cs="宋体"/>
          <w:sz w:val="24"/>
          <w:shd w:val="clear" w:color="auto" w:fill="FFFFFF"/>
        </w:rPr>
      </w:pPr>
    </w:p>
    <w:p w14:paraId="5445F435">
      <w:pPr>
        <w:tabs>
          <w:tab w:val="right" w:pos="8306"/>
        </w:tabs>
        <w:spacing w:line="360" w:lineRule="auto"/>
        <w:ind w:left="106" w:firstLine="603"/>
        <w:rPr>
          <w:rFonts w:hint="eastAsia" w:ascii="宋体" w:hAnsi="宋体" w:cs="宋体"/>
          <w:sz w:val="28"/>
          <w:szCs w:val="28"/>
        </w:rPr>
      </w:pPr>
      <w:r>
        <w:rPr>
          <w:rFonts w:hint="eastAsia" w:ascii="宋体" w:hAnsi="宋体" w:cs="宋体"/>
          <w:b/>
          <w:shd w:val="clear" w:color="auto" w:fill="FFFFFF"/>
        </w:rPr>
        <w:t xml:space="preserve"> </w:t>
      </w:r>
      <w:r>
        <w:rPr>
          <w:rFonts w:hint="eastAsia" w:ascii="宋体" w:hAnsi="宋体" w:cs="宋体"/>
          <w:b/>
          <w:sz w:val="24"/>
        </w:rPr>
        <w:t>附：代理人身份证复印件正、反面</w:t>
      </w:r>
    </w:p>
    <w:tbl>
      <w:tblPr>
        <w:tblStyle w:val="23"/>
        <w:tblW w:w="9018" w:type="dxa"/>
        <w:jc w:val="center"/>
        <w:tblLayout w:type="fixed"/>
        <w:tblCellMar>
          <w:top w:w="0" w:type="dxa"/>
          <w:left w:w="108" w:type="dxa"/>
          <w:bottom w:w="0" w:type="dxa"/>
          <w:right w:w="108" w:type="dxa"/>
        </w:tblCellMar>
      </w:tblPr>
      <w:tblGrid>
        <w:gridCol w:w="4620"/>
        <w:gridCol w:w="4398"/>
      </w:tblGrid>
      <w:tr w14:paraId="15950BEA">
        <w:tblPrEx>
          <w:tblCellMar>
            <w:top w:w="0" w:type="dxa"/>
            <w:left w:w="108" w:type="dxa"/>
            <w:bottom w:w="0" w:type="dxa"/>
            <w:right w:w="108" w:type="dxa"/>
          </w:tblCellMar>
        </w:tblPrEx>
        <w:trPr>
          <w:trHeight w:val="2918" w:hRule="atLeast"/>
          <w:jc w:val="center"/>
        </w:trPr>
        <w:tc>
          <w:tcPr>
            <w:tcW w:w="4620" w:type="dxa"/>
            <w:tcBorders>
              <w:top w:val="single" w:color="000000" w:sz="4" w:space="0"/>
              <w:left w:val="single" w:color="000000" w:sz="4" w:space="0"/>
              <w:bottom w:val="single" w:color="000000" w:sz="4" w:space="0"/>
              <w:right w:val="single" w:color="000000" w:sz="4" w:space="0"/>
            </w:tcBorders>
          </w:tcPr>
          <w:p w14:paraId="1AB683A0">
            <w:pPr>
              <w:spacing w:line="360" w:lineRule="auto"/>
              <w:jc w:val="center"/>
              <w:rPr>
                <w:rFonts w:hint="eastAsia" w:ascii="宋体" w:hAnsi="宋体" w:cs="宋体"/>
                <w:kern w:val="1"/>
                <w:sz w:val="24"/>
              </w:rPr>
            </w:pPr>
          </w:p>
          <w:p w14:paraId="66E459F4">
            <w:pPr>
              <w:spacing w:line="360" w:lineRule="auto"/>
              <w:jc w:val="center"/>
              <w:rPr>
                <w:rFonts w:hint="eastAsia" w:ascii="宋体" w:hAnsi="宋体" w:cs="宋体"/>
                <w:kern w:val="1"/>
                <w:sz w:val="24"/>
              </w:rPr>
            </w:pPr>
          </w:p>
          <w:p w14:paraId="615BD4C2">
            <w:pPr>
              <w:spacing w:line="360" w:lineRule="auto"/>
              <w:jc w:val="center"/>
              <w:rPr>
                <w:rFonts w:hint="eastAsia" w:ascii="宋体" w:hAnsi="宋体" w:cs="宋体"/>
                <w:kern w:val="1"/>
                <w:sz w:val="24"/>
              </w:rPr>
            </w:pPr>
            <w:r>
              <w:rPr>
                <w:rFonts w:hint="eastAsia" w:ascii="宋体" w:hAnsi="宋体" w:cs="宋体"/>
                <w:kern w:val="1"/>
                <w:sz w:val="24"/>
              </w:rPr>
              <w:t>附身份证复印件正面</w:t>
            </w:r>
          </w:p>
        </w:tc>
        <w:tc>
          <w:tcPr>
            <w:tcW w:w="4398" w:type="dxa"/>
            <w:tcBorders>
              <w:top w:val="single" w:color="000000" w:sz="4" w:space="0"/>
              <w:left w:val="single" w:color="000000" w:sz="4" w:space="0"/>
              <w:bottom w:val="single" w:color="000000" w:sz="4" w:space="0"/>
              <w:right w:val="single" w:color="000000" w:sz="4" w:space="0"/>
            </w:tcBorders>
          </w:tcPr>
          <w:p w14:paraId="1AFDFEA1">
            <w:pPr>
              <w:spacing w:line="360" w:lineRule="auto"/>
              <w:jc w:val="center"/>
              <w:rPr>
                <w:rFonts w:hint="eastAsia" w:ascii="宋体" w:hAnsi="宋体" w:cs="宋体"/>
                <w:kern w:val="1"/>
                <w:sz w:val="24"/>
              </w:rPr>
            </w:pPr>
          </w:p>
          <w:p w14:paraId="1D1E2C66">
            <w:pPr>
              <w:spacing w:line="360" w:lineRule="auto"/>
              <w:jc w:val="center"/>
              <w:rPr>
                <w:rFonts w:hint="eastAsia" w:ascii="宋体" w:hAnsi="宋体" w:cs="宋体"/>
                <w:kern w:val="1"/>
                <w:sz w:val="24"/>
              </w:rPr>
            </w:pPr>
          </w:p>
          <w:p w14:paraId="299A0A97">
            <w:pPr>
              <w:spacing w:line="360" w:lineRule="auto"/>
              <w:jc w:val="center"/>
              <w:rPr>
                <w:rFonts w:hint="eastAsia" w:ascii="宋体" w:hAnsi="宋体" w:cs="宋体"/>
                <w:kern w:val="1"/>
                <w:sz w:val="24"/>
              </w:rPr>
            </w:pPr>
            <w:r>
              <w:rPr>
                <w:rFonts w:hint="eastAsia" w:ascii="宋体" w:hAnsi="宋体" w:cs="宋体"/>
                <w:kern w:val="1"/>
                <w:sz w:val="24"/>
              </w:rPr>
              <w:t>附身份证复印件背面</w:t>
            </w:r>
          </w:p>
        </w:tc>
      </w:tr>
    </w:tbl>
    <w:p w14:paraId="11F6C74F">
      <w:pPr>
        <w:shd w:val="solid" w:color="FFFFFF" w:fill="auto"/>
        <w:autoSpaceDN w:val="0"/>
        <w:spacing w:line="360" w:lineRule="auto"/>
        <w:outlineLvl w:val="1"/>
        <w:rPr>
          <w:rFonts w:hint="eastAsia" w:ascii="宋体" w:hAnsi="宋体" w:cs="宋体"/>
          <w:b/>
          <w:sz w:val="32"/>
          <w:szCs w:val="32"/>
          <w:shd w:val="clear" w:color="auto" w:fill="FFFFFF"/>
          <w:lang w:eastAsia="zh-Hans"/>
        </w:rPr>
      </w:pPr>
      <w:bookmarkStart w:id="184" w:name="_Toc28810"/>
      <w:bookmarkStart w:id="185" w:name="_Toc8967"/>
      <w:bookmarkStart w:id="186" w:name="_Toc29093"/>
      <w:bookmarkStart w:id="187" w:name="_Toc1685"/>
      <w:bookmarkStart w:id="188" w:name="_Toc32386"/>
    </w:p>
    <w:p w14:paraId="4348D720">
      <w:pPr>
        <w:shd w:val="solid" w:color="FFFFFF" w:fill="auto"/>
        <w:autoSpaceDN w:val="0"/>
        <w:spacing w:line="360" w:lineRule="auto"/>
        <w:jc w:val="center"/>
        <w:outlineLvl w:val="1"/>
        <w:rPr>
          <w:rFonts w:hint="eastAsia" w:ascii="宋体" w:hAnsi="宋体" w:cs="宋体"/>
          <w:b/>
          <w:sz w:val="32"/>
          <w:szCs w:val="32"/>
          <w:shd w:val="clear" w:color="auto" w:fill="FFFFFF"/>
        </w:rPr>
      </w:pPr>
      <w:bookmarkStart w:id="189" w:name="_Toc25938"/>
      <w:bookmarkStart w:id="190" w:name="_Toc32546"/>
      <w:bookmarkStart w:id="191" w:name="_Toc18592"/>
      <w:bookmarkStart w:id="192" w:name="_Toc2211"/>
      <w:r>
        <w:rPr>
          <w:rFonts w:hint="eastAsia" w:ascii="宋体" w:hAnsi="宋体" w:cs="宋体"/>
          <w:b/>
          <w:sz w:val="32"/>
          <w:szCs w:val="32"/>
          <w:shd w:val="clear" w:color="auto" w:fill="FFFFFF"/>
          <w:lang w:eastAsia="zh-Hans"/>
        </w:rPr>
        <w:t>四</w:t>
      </w:r>
      <w:r>
        <w:rPr>
          <w:rFonts w:hint="eastAsia" w:ascii="宋体" w:hAnsi="宋体" w:cs="宋体"/>
          <w:b/>
          <w:sz w:val="32"/>
          <w:szCs w:val="32"/>
          <w:shd w:val="clear" w:color="auto" w:fill="FFFFFF"/>
        </w:rPr>
        <w:t>、投标保证金缴纳凭证</w:t>
      </w:r>
      <w:bookmarkEnd w:id="184"/>
      <w:bookmarkEnd w:id="185"/>
      <w:bookmarkEnd w:id="186"/>
      <w:bookmarkEnd w:id="187"/>
      <w:bookmarkEnd w:id="188"/>
      <w:bookmarkEnd w:id="189"/>
      <w:bookmarkEnd w:id="190"/>
      <w:bookmarkEnd w:id="191"/>
      <w:bookmarkEnd w:id="192"/>
    </w:p>
    <w:p w14:paraId="5C71ADA8">
      <w:pPr>
        <w:shd w:val="solid" w:color="FFFFFF" w:fill="auto"/>
        <w:autoSpaceDN w:val="0"/>
        <w:spacing w:line="360" w:lineRule="auto"/>
        <w:rPr>
          <w:rFonts w:hint="eastAsia" w:ascii="宋体" w:hAnsi="宋体" w:cs="宋体"/>
          <w:b/>
          <w:sz w:val="24"/>
          <w:shd w:val="clear" w:color="auto" w:fill="FFFFFF"/>
        </w:rPr>
      </w:pPr>
      <w:r>
        <w:rPr>
          <w:rFonts w:hint="eastAsia" w:ascii="宋体" w:hAnsi="宋体" w:cs="宋体"/>
          <w:b/>
          <w:sz w:val="32"/>
          <w:szCs w:val="32"/>
          <w:shd w:val="clear" w:color="auto" w:fill="FFFFFF"/>
        </w:rPr>
        <w:t xml:space="preserve">        </w:t>
      </w:r>
      <w:r>
        <w:rPr>
          <w:rFonts w:hint="eastAsia" w:ascii="宋体" w:hAnsi="宋体" w:cs="宋体"/>
          <w:b/>
          <w:sz w:val="24"/>
          <w:shd w:val="clear" w:color="auto" w:fill="FFFFFF"/>
        </w:rPr>
        <w:t xml:space="preserve">                </w:t>
      </w:r>
      <w:bookmarkStart w:id="193" w:name="_Toc13266"/>
      <w:bookmarkStart w:id="194" w:name="_Toc13221"/>
    </w:p>
    <w:bookmarkEnd w:id="193"/>
    <w:bookmarkEnd w:id="194"/>
    <w:p w14:paraId="101FE75E">
      <w:pPr>
        <w:shd w:val="solid" w:color="FFFFFF" w:fill="auto"/>
        <w:autoSpaceDN w:val="0"/>
        <w:spacing w:line="360" w:lineRule="auto"/>
        <w:rPr>
          <w:rFonts w:hint="eastAsia" w:ascii="宋体" w:hAnsi="宋体" w:cs="宋体"/>
          <w:bCs/>
          <w:sz w:val="24"/>
        </w:rPr>
      </w:pPr>
      <w:r>
        <w:rPr>
          <w:rFonts w:hint="eastAsia" w:ascii="宋体" w:hAnsi="宋体" w:cs="宋体"/>
          <w:bCs/>
          <w:sz w:val="24"/>
        </w:rPr>
        <w:t>（一）投标保证金银行转账凭证或银行保函或保险单或其他凭证（如支票、汇票、本票等非现金形式提交的凭证）；</w:t>
      </w:r>
    </w:p>
    <w:p w14:paraId="32FBB2C1">
      <w:pPr>
        <w:shd w:val="solid" w:color="FFFFFF" w:fill="auto"/>
        <w:autoSpaceDN w:val="0"/>
        <w:spacing w:line="360" w:lineRule="auto"/>
        <w:rPr>
          <w:rFonts w:hint="eastAsia" w:ascii="宋体" w:hAnsi="宋体" w:cs="宋体"/>
          <w:bCs/>
          <w:sz w:val="24"/>
        </w:rPr>
      </w:pPr>
      <w:r>
        <w:rPr>
          <w:rFonts w:hint="eastAsia" w:ascii="宋体" w:hAnsi="宋体" w:cs="宋体"/>
          <w:bCs/>
          <w:sz w:val="24"/>
        </w:rPr>
        <w:t>（附扫描件或复印件）</w:t>
      </w:r>
    </w:p>
    <w:p w14:paraId="7D055307">
      <w:pPr>
        <w:shd w:val="solid" w:color="FFFFFF" w:fill="auto"/>
        <w:autoSpaceDN w:val="0"/>
        <w:spacing w:line="360" w:lineRule="auto"/>
        <w:rPr>
          <w:rFonts w:hint="eastAsia" w:ascii="宋体" w:hAnsi="宋体" w:cs="宋体"/>
          <w:bCs/>
          <w:sz w:val="24"/>
        </w:rPr>
      </w:pPr>
    </w:p>
    <w:p w14:paraId="504F273B">
      <w:pPr>
        <w:numPr>
          <w:ilvl w:val="0"/>
          <w:numId w:val="3"/>
        </w:numPr>
        <w:shd w:val="solid" w:color="FFFFFF" w:fill="auto"/>
        <w:autoSpaceDN w:val="0"/>
        <w:spacing w:line="360" w:lineRule="auto"/>
        <w:rPr>
          <w:rFonts w:hint="eastAsia" w:ascii="宋体" w:hAnsi="宋体" w:cs="宋体"/>
          <w:bCs/>
          <w:sz w:val="24"/>
        </w:rPr>
      </w:pPr>
      <w:r>
        <w:rPr>
          <w:rFonts w:hint="eastAsia" w:ascii="宋体" w:hAnsi="宋体" w:cs="宋体"/>
          <w:bCs/>
          <w:sz w:val="24"/>
        </w:rPr>
        <w:t>基本存款账户信息或开户许可证</w:t>
      </w:r>
    </w:p>
    <w:p w14:paraId="07A0EDA9">
      <w:pPr>
        <w:pStyle w:val="6"/>
        <w:spacing w:line="360" w:lineRule="auto"/>
        <w:rPr>
          <w:rFonts w:hint="eastAsia" w:ascii="宋体" w:hAnsi="宋体" w:cs="宋体"/>
          <w:bCs/>
          <w:sz w:val="24"/>
        </w:rPr>
      </w:pPr>
      <w:r>
        <w:rPr>
          <w:rFonts w:hint="eastAsia" w:ascii="宋体" w:hAnsi="宋体" w:cs="宋体"/>
          <w:bCs/>
          <w:sz w:val="24"/>
        </w:rPr>
        <w:t>（附扫描件或复印件）</w:t>
      </w:r>
    </w:p>
    <w:p w14:paraId="43CA1D19">
      <w:pPr>
        <w:spacing w:line="360" w:lineRule="auto"/>
        <w:rPr>
          <w:rFonts w:hint="eastAsia" w:ascii="宋体" w:hAnsi="宋体" w:cs="宋体"/>
          <w:bCs/>
          <w:sz w:val="24"/>
        </w:rPr>
      </w:pPr>
    </w:p>
    <w:p w14:paraId="3BCB2478">
      <w:pPr>
        <w:spacing w:line="360" w:lineRule="auto"/>
        <w:jc w:val="center"/>
        <w:outlineLvl w:val="1"/>
        <w:rPr>
          <w:rFonts w:hint="eastAsia" w:ascii="宋体" w:hAnsi="宋体" w:cs="宋体"/>
          <w:b/>
          <w:sz w:val="32"/>
          <w:szCs w:val="32"/>
          <w:shd w:val="clear" w:color="auto" w:fill="FFFFFF"/>
        </w:rPr>
      </w:pPr>
      <w:r>
        <w:rPr>
          <w:rFonts w:hint="eastAsia" w:ascii="宋体" w:hAnsi="宋体" w:cs="宋体"/>
        </w:rPr>
        <w:br w:type="page"/>
      </w:r>
      <w:bookmarkStart w:id="195" w:name="_Toc27737"/>
      <w:bookmarkStart w:id="196" w:name="_Toc29370"/>
      <w:bookmarkStart w:id="197" w:name="_Toc688"/>
      <w:bookmarkStart w:id="198" w:name="_Toc15146"/>
      <w:r>
        <w:rPr>
          <w:rFonts w:hint="eastAsia" w:ascii="宋体" w:hAnsi="宋体" w:cs="宋体"/>
          <w:b/>
          <w:sz w:val="32"/>
          <w:szCs w:val="32"/>
          <w:shd w:val="clear" w:color="auto" w:fill="FFFFFF"/>
          <w:lang w:eastAsia="zh-Hans"/>
        </w:rPr>
        <w:t>五</w:t>
      </w:r>
      <w:r>
        <w:rPr>
          <w:rFonts w:hint="eastAsia" w:ascii="宋体" w:hAnsi="宋体" w:cs="宋体"/>
          <w:b/>
          <w:sz w:val="32"/>
          <w:szCs w:val="32"/>
          <w:shd w:val="clear" w:color="auto" w:fill="FFFFFF"/>
        </w:rPr>
        <w:t>、</w:t>
      </w:r>
      <w:r>
        <w:rPr>
          <w:rFonts w:hint="eastAsia" w:ascii="宋体" w:hAnsi="宋体" w:cs="宋体"/>
          <w:b/>
          <w:bCs/>
          <w:sz w:val="32"/>
          <w:szCs w:val="32"/>
        </w:rPr>
        <w:t>投标报价一览表</w:t>
      </w:r>
      <w:bookmarkEnd w:id="195"/>
      <w:bookmarkEnd w:id="196"/>
      <w:bookmarkEnd w:id="197"/>
      <w:bookmarkEnd w:id="198"/>
    </w:p>
    <w:p w14:paraId="7B42E801">
      <w:pPr>
        <w:shd w:val="solid" w:color="FFFFFF" w:fill="auto"/>
        <w:autoSpaceDN w:val="0"/>
        <w:spacing w:line="360" w:lineRule="auto"/>
        <w:rPr>
          <w:rFonts w:hint="eastAsia" w:ascii="宋体" w:hAnsi="宋体" w:cs="宋体"/>
          <w:sz w:val="24"/>
          <w:u w:val="single"/>
          <w:shd w:val="clear" w:color="auto" w:fill="FFFFFF"/>
        </w:rPr>
      </w:pPr>
      <w:r>
        <w:rPr>
          <w:rFonts w:hint="eastAsia" w:ascii="宋体" w:hAnsi="宋体" w:cs="宋体"/>
          <w:sz w:val="24"/>
          <w:shd w:val="clear" w:color="auto" w:fill="FFFFFF"/>
        </w:rPr>
        <w:t>项目名称：</w:t>
      </w:r>
      <w:r>
        <w:rPr>
          <w:rFonts w:hint="eastAsia" w:ascii="宋体" w:hAnsi="宋体" w:cs="宋体"/>
          <w:sz w:val="24"/>
          <w:szCs w:val="20"/>
          <w:u w:val="single"/>
          <w:shd w:val="clear" w:color="auto" w:fill="FFFFFF"/>
        </w:rPr>
        <w:t>玉溪市2026年生态环境监测能力提升项目</w:t>
      </w:r>
    </w:p>
    <w:p w14:paraId="50CB7B74">
      <w:pPr>
        <w:spacing w:line="360" w:lineRule="auto"/>
        <w:rPr>
          <w:rFonts w:hint="eastAsia" w:ascii="宋体" w:hAnsi="宋体" w:cs="宋体"/>
          <w:sz w:val="24"/>
        </w:rPr>
      </w:pPr>
      <w:r>
        <w:rPr>
          <w:rFonts w:hint="eastAsia" w:ascii="宋体" w:hAnsi="宋体" w:cs="宋体"/>
          <w:sz w:val="24"/>
          <w:shd w:val="clear" w:color="auto" w:fill="FFFFFF"/>
        </w:rPr>
        <w:t>项目编号：</w:t>
      </w:r>
      <w:r>
        <w:rPr>
          <w:rFonts w:hint="eastAsia" w:ascii="宋体" w:hAnsi="宋体" w:cs="宋体"/>
          <w:sz w:val="24"/>
          <w:u w:val="single"/>
          <w:shd w:val="clear" w:color="auto" w:fill="FFFFFF"/>
        </w:rPr>
        <w:t xml:space="preserve">                       </w:t>
      </w:r>
    </w:p>
    <w:tbl>
      <w:tblPr>
        <w:tblStyle w:val="23"/>
        <w:tblW w:w="91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0"/>
        <w:gridCol w:w="7436"/>
      </w:tblGrid>
      <w:tr w14:paraId="6B96F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exact"/>
          <w:jc w:val="center"/>
        </w:trPr>
        <w:tc>
          <w:tcPr>
            <w:tcW w:w="1690" w:type="dxa"/>
            <w:vAlign w:val="center"/>
          </w:tcPr>
          <w:p w14:paraId="294BEC2E">
            <w:pPr>
              <w:spacing w:before="120" w:after="120" w:line="360" w:lineRule="auto"/>
              <w:jc w:val="center"/>
              <w:rPr>
                <w:rFonts w:hint="eastAsia" w:ascii="宋体" w:hAnsi="宋体" w:cs="宋体"/>
                <w:sz w:val="24"/>
              </w:rPr>
            </w:pPr>
            <w:r>
              <w:rPr>
                <w:rFonts w:hint="eastAsia" w:ascii="宋体" w:hAnsi="宋体" w:cs="宋体"/>
                <w:sz w:val="24"/>
              </w:rPr>
              <w:t>项目</w:t>
            </w:r>
          </w:p>
        </w:tc>
        <w:tc>
          <w:tcPr>
            <w:tcW w:w="7436" w:type="dxa"/>
            <w:vAlign w:val="center"/>
          </w:tcPr>
          <w:p w14:paraId="60B06EC9">
            <w:pPr>
              <w:spacing w:before="120" w:after="120" w:line="360" w:lineRule="auto"/>
              <w:jc w:val="center"/>
              <w:rPr>
                <w:rFonts w:hint="eastAsia" w:ascii="宋体" w:hAnsi="宋体" w:cs="宋体"/>
                <w:sz w:val="24"/>
              </w:rPr>
            </w:pPr>
            <w:r>
              <w:rPr>
                <w:rFonts w:hint="eastAsia" w:ascii="宋体" w:hAnsi="宋体" w:cs="宋体"/>
                <w:sz w:val="24"/>
              </w:rPr>
              <w:t>内容</w:t>
            </w:r>
          </w:p>
        </w:tc>
      </w:tr>
      <w:tr w14:paraId="51330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exact"/>
          <w:jc w:val="center"/>
        </w:trPr>
        <w:tc>
          <w:tcPr>
            <w:tcW w:w="1690" w:type="dxa"/>
            <w:vMerge w:val="restart"/>
            <w:vAlign w:val="center"/>
          </w:tcPr>
          <w:p w14:paraId="19E2EDC0">
            <w:pPr>
              <w:spacing w:before="120" w:after="120" w:line="360" w:lineRule="auto"/>
              <w:jc w:val="center"/>
              <w:rPr>
                <w:rFonts w:hint="eastAsia" w:ascii="宋体" w:hAnsi="宋体" w:cs="宋体"/>
                <w:sz w:val="24"/>
              </w:rPr>
            </w:pPr>
            <w:r>
              <w:rPr>
                <w:rFonts w:hint="eastAsia" w:ascii="宋体" w:hAnsi="宋体" w:cs="宋体"/>
                <w:sz w:val="24"/>
              </w:rPr>
              <w:t>投标总报价</w:t>
            </w:r>
          </w:p>
        </w:tc>
        <w:tc>
          <w:tcPr>
            <w:tcW w:w="7436" w:type="dxa"/>
            <w:vAlign w:val="center"/>
          </w:tcPr>
          <w:p w14:paraId="31C79885">
            <w:pPr>
              <w:tabs>
                <w:tab w:val="left" w:pos="5468"/>
              </w:tabs>
              <w:spacing w:line="360" w:lineRule="auto"/>
              <w:ind w:firstLine="28" w:firstLineChars="12"/>
              <w:rPr>
                <w:rFonts w:hint="eastAsia" w:ascii="宋体" w:hAnsi="宋体" w:cs="宋体"/>
                <w:sz w:val="24"/>
              </w:rPr>
            </w:pPr>
            <w:r>
              <w:rPr>
                <w:rFonts w:hint="eastAsia" w:ascii="宋体" w:hAnsi="宋体" w:cs="宋体"/>
                <w:sz w:val="24"/>
              </w:rPr>
              <w:t>大写：人民币</w:t>
            </w:r>
            <w:r>
              <w:rPr>
                <w:rFonts w:hint="eastAsia" w:ascii="宋体" w:hAnsi="宋体" w:cs="宋体"/>
                <w:sz w:val="24"/>
                <w:u w:val="single"/>
              </w:rPr>
              <w:t xml:space="preserve">               </w:t>
            </w:r>
          </w:p>
        </w:tc>
      </w:tr>
      <w:tr w14:paraId="111EB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exact"/>
          <w:jc w:val="center"/>
        </w:trPr>
        <w:tc>
          <w:tcPr>
            <w:tcW w:w="1690" w:type="dxa"/>
            <w:vMerge w:val="continue"/>
            <w:vAlign w:val="center"/>
          </w:tcPr>
          <w:p w14:paraId="2CDBED3B">
            <w:pPr>
              <w:spacing w:before="120" w:after="120" w:line="360" w:lineRule="auto"/>
              <w:jc w:val="center"/>
              <w:rPr>
                <w:rFonts w:hint="eastAsia" w:ascii="宋体" w:hAnsi="宋体" w:cs="宋体"/>
                <w:sz w:val="24"/>
              </w:rPr>
            </w:pPr>
          </w:p>
        </w:tc>
        <w:tc>
          <w:tcPr>
            <w:tcW w:w="7436" w:type="dxa"/>
            <w:vAlign w:val="center"/>
          </w:tcPr>
          <w:p w14:paraId="0C28B7C5">
            <w:pPr>
              <w:tabs>
                <w:tab w:val="left" w:pos="5468"/>
              </w:tabs>
              <w:spacing w:line="360" w:lineRule="auto"/>
              <w:ind w:firstLine="28" w:firstLineChars="12"/>
              <w:rPr>
                <w:rFonts w:hint="eastAsia" w:ascii="宋体" w:hAnsi="宋体" w:cs="宋体"/>
                <w:sz w:val="24"/>
              </w:rPr>
            </w:pPr>
            <w:r>
              <w:rPr>
                <w:rFonts w:hint="eastAsia" w:ascii="宋体" w:hAnsi="宋体" w:cs="宋体"/>
                <w:sz w:val="24"/>
              </w:rPr>
              <w:t>小写：</w:t>
            </w:r>
            <w:r>
              <w:rPr>
                <w:rFonts w:hint="eastAsia" w:ascii="宋体" w:hAnsi="宋体" w:cs="宋体"/>
                <w:sz w:val="24"/>
                <w:u w:val="single"/>
              </w:rPr>
              <w:t xml:space="preserve">                      </w:t>
            </w:r>
            <w:r>
              <w:rPr>
                <w:rFonts w:hint="eastAsia" w:ascii="宋体" w:hAnsi="宋体" w:cs="宋体"/>
                <w:sz w:val="24"/>
              </w:rPr>
              <w:t>元</w:t>
            </w:r>
          </w:p>
        </w:tc>
      </w:tr>
      <w:tr w14:paraId="0D93C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exact"/>
          <w:jc w:val="center"/>
        </w:trPr>
        <w:tc>
          <w:tcPr>
            <w:tcW w:w="1690" w:type="dxa"/>
            <w:vAlign w:val="center"/>
          </w:tcPr>
          <w:p w14:paraId="617AE0D7">
            <w:pPr>
              <w:spacing w:line="360" w:lineRule="auto"/>
              <w:jc w:val="center"/>
              <w:rPr>
                <w:rFonts w:hint="eastAsia" w:ascii="宋体" w:hAnsi="宋体" w:cs="宋体"/>
                <w:sz w:val="24"/>
              </w:rPr>
            </w:pPr>
            <w:r>
              <w:rPr>
                <w:rFonts w:hint="eastAsia" w:ascii="宋体" w:hAnsi="宋体" w:cs="宋体"/>
                <w:sz w:val="24"/>
              </w:rPr>
              <w:t>交货期</w:t>
            </w:r>
          </w:p>
        </w:tc>
        <w:tc>
          <w:tcPr>
            <w:tcW w:w="7436" w:type="dxa"/>
            <w:vAlign w:val="center"/>
          </w:tcPr>
          <w:p w14:paraId="42107CE2">
            <w:pPr>
              <w:tabs>
                <w:tab w:val="left" w:pos="5468"/>
              </w:tabs>
              <w:spacing w:line="360" w:lineRule="auto"/>
              <w:rPr>
                <w:rFonts w:hint="eastAsia" w:ascii="宋体" w:hAnsi="宋体" w:cs="宋体"/>
                <w:sz w:val="24"/>
              </w:rPr>
            </w:pPr>
            <w:r>
              <w:rPr>
                <w:rFonts w:hint="eastAsia" w:ascii="宋体" w:hAnsi="宋体" w:cs="宋体"/>
                <w:sz w:val="24"/>
              </w:rPr>
              <w:t>签订合同后</w:t>
            </w:r>
            <w:r>
              <w:rPr>
                <w:rFonts w:hint="eastAsia" w:ascii="宋体" w:hAnsi="宋体" w:cs="宋体"/>
                <w:sz w:val="24"/>
                <w:u w:val="single"/>
              </w:rPr>
              <w:t xml:space="preserve">      </w:t>
            </w:r>
            <w:r>
              <w:rPr>
                <w:rFonts w:hint="eastAsia" w:ascii="宋体" w:hAnsi="宋体" w:cs="宋体"/>
                <w:sz w:val="24"/>
              </w:rPr>
              <w:t>日历天内完成安装、调试、验收合格并交付使用。</w:t>
            </w:r>
          </w:p>
        </w:tc>
      </w:tr>
      <w:tr w14:paraId="5C948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exact"/>
          <w:jc w:val="center"/>
        </w:trPr>
        <w:tc>
          <w:tcPr>
            <w:tcW w:w="1690" w:type="dxa"/>
            <w:vAlign w:val="center"/>
          </w:tcPr>
          <w:p w14:paraId="7A9411EA">
            <w:pPr>
              <w:spacing w:line="360" w:lineRule="auto"/>
              <w:jc w:val="center"/>
              <w:rPr>
                <w:rFonts w:hint="eastAsia" w:ascii="宋体" w:hAnsi="宋体" w:cs="宋体"/>
                <w:sz w:val="24"/>
              </w:rPr>
            </w:pPr>
            <w:r>
              <w:rPr>
                <w:rFonts w:hint="eastAsia" w:ascii="宋体" w:hAnsi="宋体" w:cs="宋体"/>
                <w:sz w:val="24"/>
              </w:rPr>
              <w:t>交货地点</w:t>
            </w:r>
          </w:p>
        </w:tc>
        <w:tc>
          <w:tcPr>
            <w:tcW w:w="7436" w:type="dxa"/>
            <w:vAlign w:val="center"/>
          </w:tcPr>
          <w:p w14:paraId="1D8042EF">
            <w:pPr>
              <w:tabs>
                <w:tab w:val="left" w:pos="5468"/>
              </w:tabs>
              <w:spacing w:line="360" w:lineRule="auto"/>
              <w:rPr>
                <w:rFonts w:hint="eastAsia" w:ascii="宋体" w:hAnsi="宋体" w:cs="宋体"/>
                <w:sz w:val="24"/>
              </w:rPr>
            </w:pPr>
            <w:r>
              <w:rPr>
                <w:rFonts w:hint="eastAsia" w:ascii="宋体" w:hAnsi="宋体" w:cs="宋体"/>
                <w:sz w:val="24"/>
              </w:rPr>
              <w:t>玉溪市生态环境局(采购人指定地点)。</w:t>
            </w:r>
          </w:p>
        </w:tc>
      </w:tr>
      <w:tr w14:paraId="68FC7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exact"/>
          <w:jc w:val="center"/>
        </w:trPr>
        <w:tc>
          <w:tcPr>
            <w:tcW w:w="1690" w:type="dxa"/>
            <w:vAlign w:val="center"/>
          </w:tcPr>
          <w:p w14:paraId="49171220">
            <w:pPr>
              <w:spacing w:line="360" w:lineRule="auto"/>
              <w:jc w:val="center"/>
              <w:rPr>
                <w:rFonts w:hint="eastAsia" w:ascii="宋体" w:hAnsi="宋体" w:cs="宋体"/>
                <w:sz w:val="24"/>
              </w:rPr>
            </w:pPr>
            <w:r>
              <w:rPr>
                <w:rFonts w:hint="eastAsia" w:ascii="宋体" w:hAnsi="宋体" w:cs="宋体"/>
                <w:sz w:val="24"/>
              </w:rPr>
              <w:t>其它</w:t>
            </w:r>
          </w:p>
        </w:tc>
        <w:tc>
          <w:tcPr>
            <w:tcW w:w="7436" w:type="dxa"/>
            <w:vAlign w:val="center"/>
          </w:tcPr>
          <w:p w14:paraId="151F3337">
            <w:pPr>
              <w:tabs>
                <w:tab w:val="left" w:pos="5468"/>
              </w:tabs>
              <w:spacing w:line="360" w:lineRule="auto"/>
              <w:rPr>
                <w:rFonts w:hint="eastAsia" w:ascii="宋体" w:hAnsi="宋体" w:cs="宋体"/>
                <w:sz w:val="24"/>
              </w:rPr>
            </w:pPr>
          </w:p>
        </w:tc>
      </w:tr>
      <w:tr w14:paraId="08AD0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7" w:hRule="atLeast"/>
          <w:jc w:val="center"/>
        </w:trPr>
        <w:tc>
          <w:tcPr>
            <w:tcW w:w="1690" w:type="dxa"/>
            <w:vAlign w:val="center"/>
          </w:tcPr>
          <w:p w14:paraId="37E55AD7">
            <w:pPr>
              <w:spacing w:before="120" w:after="120" w:line="360" w:lineRule="auto"/>
              <w:jc w:val="center"/>
              <w:rPr>
                <w:rFonts w:hint="eastAsia" w:ascii="宋体" w:hAnsi="宋体" w:cs="宋体"/>
                <w:sz w:val="24"/>
              </w:rPr>
            </w:pPr>
            <w:r>
              <w:rPr>
                <w:rFonts w:hint="eastAsia" w:ascii="宋体" w:hAnsi="宋体" w:cs="宋体"/>
                <w:sz w:val="24"/>
              </w:rPr>
              <w:t>备注</w:t>
            </w:r>
          </w:p>
        </w:tc>
        <w:tc>
          <w:tcPr>
            <w:tcW w:w="7436" w:type="dxa"/>
            <w:vAlign w:val="center"/>
          </w:tcPr>
          <w:p w14:paraId="74DACB0F">
            <w:pPr>
              <w:spacing w:before="120" w:after="120" w:line="360" w:lineRule="auto"/>
              <w:rPr>
                <w:rFonts w:hint="eastAsia" w:ascii="宋体" w:hAnsi="宋体" w:cs="宋体"/>
                <w:sz w:val="24"/>
              </w:rPr>
            </w:pPr>
          </w:p>
        </w:tc>
      </w:tr>
    </w:tbl>
    <w:p w14:paraId="6FF15B91">
      <w:pPr>
        <w:spacing w:line="360" w:lineRule="auto"/>
        <w:rPr>
          <w:rFonts w:hint="eastAsia" w:ascii="宋体" w:hAnsi="宋体" w:cs="宋体"/>
          <w:sz w:val="24"/>
        </w:rPr>
      </w:pPr>
    </w:p>
    <w:p w14:paraId="1952C276">
      <w:pPr>
        <w:spacing w:line="360" w:lineRule="auto"/>
        <w:rPr>
          <w:rFonts w:hint="eastAsia" w:ascii="宋体" w:hAnsi="宋体" w:cs="宋体"/>
          <w:sz w:val="24"/>
        </w:rPr>
      </w:pPr>
      <w:r>
        <w:rPr>
          <w:rFonts w:hint="eastAsia" w:ascii="宋体" w:hAnsi="宋体" w:cs="宋体"/>
          <w:sz w:val="24"/>
        </w:rPr>
        <w:t>注：投标报价币种：按人民币报价。</w:t>
      </w:r>
    </w:p>
    <w:p w14:paraId="16FAFB37">
      <w:pPr>
        <w:shd w:val="solid" w:color="FFFFFF" w:fill="auto"/>
        <w:autoSpaceDN w:val="0"/>
        <w:spacing w:line="360" w:lineRule="auto"/>
        <w:jc w:val="left"/>
        <w:rPr>
          <w:rFonts w:hint="eastAsia" w:ascii="宋体" w:hAnsi="宋体" w:cs="宋体"/>
          <w:sz w:val="24"/>
        </w:rPr>
      </w:pPr>
    </w:p>
    <w:p w14:paraId="3584385C">
      <w:pPr>
        <w:shd w:val="solid" w:color="FFFFFF" w:fill="auto"/>
        <w:autoSpaceDN w:val="0"/>
        <w:spacing w:line="360" w:lineRule="auto"/>
        <w:jc w:val="left"/>
        <w:rPr>
          <w:rFonts w:hint="eastAsia" w:ascii="宋体" w:hAnsi="宋体" w:cs="宋体"/>
          <w:sz w:val="24"/>
          <w:shd w:val="clear" w:color="auto" w:fill="FFFFFF"/>
        </w:rPr>
      </w:pPr>
      <w:r>
        <w:rPr>
          <w:rFonts w:hint="eastAsia" w:ascii="宋体" w:hAnsi="宋体" w:cs="宋体"/>
          <w:sz w:val="24"/>
        </w:rPr>
        <w:t>投标人：</w:t>
      </w:r>
      <w:r>
        <w:rPr>
          <w:rFonts w:hint="eastAsia" w:ascii="宋体" w:hAnsi="宋体" w:cs="宋体"/>
          <w:sz w:val="24"/>
          <w:u w:val="single"/>
        </w:rPr>
        <w:t xml:space="preserve">      （投标人全称）      </w:t>
      </w:r>
      <w:r>
        <w:rPr>
          <w:rFonts w:hint="eastAsia" w:ascii="宋体" w:hAnsi="宋体" w:cs="宋体"/>
          <w:sz w:val="24"/>
        </w:rPr>
        <w:t>（电子签章）</w:t>
      </w:r>
    </w:p>
    <w:p w14:paraId="2C72F0EC">
      <w:pPr>
        <w:shd w:val="solid" w:color="FFFFFF" w:fill="auto"/>
        <w:autoSpaceDN w:val="0"/>
        <w:spacing w:line="360" w:lineRule="auto"/>
        <w:jc w:val="left"/>
        <w:rPr>
          <w:rFonts w:hint="eastAsia" w:ascii="宋体" w:hAnsi="宋体" w:cs="宋体"/>
          <w:sz w:val="24"/>
          <w:shd w:val="clear" w:color="auto" w:fill="FFFFFF"/>
        </w:rPr>
      </w:pPr>
      <w:r>
        <w:rPr>
          <w:rFonts w:hint="eastAsia" w:ascii="宋体" w:hAnsi="宋体" w:cs="宋体"/>
          <w:sz w:val="24"/>
          <w:shd w:val="clear" w:color="auto" w:fill="FFFFFF"/>
        </w:rPr>
        <w:t>法定代表人或其委托代理人：</w:t>
      </w:r>
      <w:r>
        <w:rPr>
          <w:rFonts w:hint="eastAsia" w:ascii="宋体" w:hAnsi="宋体" w:cs="宋体"/>
          <w:sz w:val="24"/>
          <w:u w:val="single"/>
          <w:shd w:val="clear" w:color="auto" w:fill="FFFFFF"/>
        </w:rPr>
        <w:t xml:space="preserve">　               </w:t>
      </w:r>
      <w:r>
        <w:rPr>
          <w:rFonts w:hint="eastAsia" w:ascii="宋体" w:hAnsi="宋体" w:cs="宋体"/>
          <w:sz w:val="24"/>
          <w:shd w:val="clear" w:color="auto" w:fill="FFFFFF"/>
        </w:rPr>
        <w:t>（电子签章或电子签名）</w:t>
      </w:r>
    </w:p>
    <w:p w14:paraId="50915CDC">
      <w:pPr>
        <w:pStyle w:val="6"/>
        <w:spacing w:line="360" w:lineRule="auto"/>
        <w:rPr>
          <w:rFonts w:hint="eastAsia" w:ascii="宋体" w:hAnsi="宋体" w:cs="宋体"/>
          <w:sz w:val="24"/>
        </w:rPr>
      </w:pPr>
      <w:r>
        <w:rPr>
          <w:rFonts w:hint="eastAsia" w:ascii="宋体" w:hAnsi="宋体" w:cs="宋体"/>
          <w:sz w:val="24"/>
        </w:rPr>
        <w:t>日期：</w:t>
      </w:r>
      <w:r>
        <w:rPr>
          <w:rFonts w:hint="eastAsia" w:ascii="宋体" w:hAnsi="宋体" w:cs="宋体"/>
          <w:sz w:val="24"/>
          <w:u w:val="single"/>
          <w:shd w:val="clear" w:color="auto" w:fill="FFFFFF"/>
        </w:rPr>
        <w:t xml:space="preserve">　    </w:t>
      </w:r>
      <w:r>
        <w:rPr>
          <w:rFonts w:hint="eastAsia" w:ascii="宋体" w:hAnsi="宋体" w:cs="宋体"/>
          <w:sz w:val="24"/>
        </w:rPr>
        <w:t>年</w:t>
      </w:r>
      <w:r>
        <w:rPr>
          <w:rFonts w:hint="eastAsia" w:ascii="宋体" w:hAnsi="宋体" w:cs="宋体"/>
          <w:sz w:val="24"/>
          <w:u w:val="single"/>
          <w:shd w:val="clear" w:color="auto" w:fill="FFFFFF"/>
        </w:rPr>
        <w:t xml:space="preserve">　    </w:t>
      </w:r>
      <w:r>
        <w:rPr>
          <w:rFonts w:hint="eastAsia" w:ascii="宋体" w:hAnsi="宋体" w:cs="宋体"/>
          <w:sz w:val="24"/>
        </w:rPr>
        <w:t>月</w:t>
      </w:r>
      <w:r>
        <w:rPr>
          <w:rFonts w:hint="eastAsia" w:ascii="宋体" w:hAnsi="宋体" w:cs="宋体"/>
          <w:sz w:val="24"/>
          <w:u w:val="single"/>
          <w:shd w:val="clear" w:color="auto" w:fill="FFFFFF"/>
        </w:rPr>
        <w:t xml:space="preserve">　    </w:t>
      </w:r>
      <w:r>
        <w:rPr>
          <w:rFonts w:hint="eastAsia" w:ascii="宋体" w:hAnsi="宋体" w:cs="宋体"/>
          <w:sz w:val="24"/>
        </w:rPr>
        <w:t>日</w:t>
      </w:r>
    </w:p>
    <w:p w14:paraId="73A43691">
      <w:pPr>
        <w:shd w:val="solid" w:color="FFFFFF" w:fill="auto"/>
        <w:autoSpaceDN w:val="0"/>
        <w:spacing w:line="360" w:lineRule="auto"/>
        <w:jc w:val="center"/>
        <w:outlineLvl w:val="1"/>
        <w:rPr>
          <w:rFonts w:hint="eastAsia" w:ascii="宋体" w:hAnsi="宋体" w:cs="宋体"/>
          <w:sz w:val="32"/>
          <w:szCs w:val="32"/>
          <w:shd w:val="clear" w:color="auto" w:fill="FFFFFF"/>
        </w:rPr>
      </w:pPr>
      <w:r>
        <w:rPr>
          <w:rFonts w:hint="eastAsia" w:ascii="宋体" w:hAnsi="宋体" w:cs="宋体"/>
          <w:sz w:val="24"/>
        </w:rPr>
        <w:br w:type="page"/>
      </w:r>
      <w:bookmarkStart w:id="199" w:name="_Toc30702"/>
      <w:bookmarkStart w:id="200" w:name="_Toc22875"/>
      <w:bookmarkStart w:id="201" w:name="_Toc10809"/>
      <w:bookmarkStart w:id="202" w:name="_Toc19158"/>
      <w:r>
        <w:rPr>
          <w:rFonts w:hint="eastAsia" w:ascii="宋体" w:hAnsi="宋体" w:cs="宋体"/>
          <w:b/>
          <w:sz w:val="32"/>
          <w:szCs w:val="32"/>
          <w:shd w:val="clear" w:color="auto" w:fill="FFFFFF"/>
        </w:rPr>
        <w:t>六、分项报价明细表</w:t>
      </w:r>
      <w:bookmarkEnd w:id="199"/>
      <w:bookmarkEnd w:id="200"/>
      <w:bookmarkEnd w:id="201"/>
      <w:bookmarkEnd w:id="202"/>
    </w:p>
    <w:p w14:paraId="7DCE3FEC">
      <w:pPr>
        <w:shd w:val="solid" w:color="FFFFFF" w:fill="auto"/>
        <w:autoSpaceDN w:val="0"/>
        <w:spacing w:line="360" w:lineRule="auto"/>
        <w:rPr>
          <w:rFonts w:hint="eastAsia" w:ascii="宋体" w:hAnsi="宋体" w:cs="宋体"/>
          <w:sz w:val="24"/>
          <w:u w:val="single"/>
          <w:shd w:val="clear" w:color="auto" w:fill="FFFFFF"/>
        </w:rPr>
      </w:pPr>
      <w:r>
        <w:rPr>
          <w:rFonts w:hint="eastAsia" w:ascii="宋体" w:hAnsi="宋体" w:cs="宋体"/>
          <w:sz w:val="24"/>
          <w:shd w:val="clear" w:color="auto" w:fill="FFFFFF"/>
        </w:rPr>
        <w:t>项目名称：</w:t>
      </w:r>
      <w:r>
        <w:rPr>
          <w:rFonts w:hint="eastAsia" w:ascii="宋体" w:hAnsi="宋体" w:cs="宋体"/>
          <w:sz w:val="24"/>
          <w:szCs w:val="20"/>
          <w:u w:val="single"/>
          <w:shd w:val="clear" w:color="auto" w:fill="FFFFFF"/>
        </w:rPr>
        <w:t>玉溪市2026年生态环境监测能力提升项目</w:t>
      </w:r>
    </w:p>
    <w:p w14:paraId="6C774CA0">
      <w:pPr>
        <w:spacing w:line="360" w:lineRule="auto"/>
        <w:rPr>
          <w:rFonts w:hint="eastAsia" w:ascii="宋体" w:hAnsi="宋体" w:cs="宋体"/>
          <w:sz w:val="24"/>
          <w:u w:val="single"/>
        </w:rPr>
      </w:pPr>
      <w:r>
        <w:rPr>
          <w:rFonts w:hint="eastAsia" w:ascii="宋体" w:hAnsi="宋体" w:cs="宋体"/>
          <w:sz w:val="24"/>
          <w:shd w:val="clear" w:color="auto" w:fill="FFFFFF"/>
        </w:rPr>
        <w:t>项目编号：</w:t>
      </w:r>
      <w:r>
        <w:rPr>
          <w:rFonts w:hint="eastAsia" w:ascii="宋体" w:hAnsi="宋体" w:cs="宋体"/>
          <w:sz w:val="24"/>
          <w:u w:val="single"/>
          <w:shd w:val="clear" w:color="auto" w:fill="FFFFFF"/>
        </w:rPr>
        <w:t xml:space="preserve">                      </w:t>
      </w:r>
      <w:r>
        <w:rPr>
          <w:rFonts w:hint="eastAsia" w:ascii="宋体" w:hAnsi="宋体" w:cs="宋体"/>
          <w:sz w:val="24"/>
          <w:u w:val="single"/>
        </w:rPr>
        <w:t xml:space="preserve"> </w:t>
      </w:r>
    </w:p>
    <w:tbl>
      <w:tblPr>
        <w:tblStyle w:val="23"/>
        <w:tblW w:w="9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1"/>
        <w:gridCol w:w="1330"/>
        <w:gridCol w:w="734"/>
        <w:gridCol w:w="756"/>
        <w:gridCol w:w="785"/>
        <w:gridCol w:w="834"/>
        <w:gridCol w:w="673"/>
        <w:gridCol w:w="913"/>
        <w:gridCol w:w="1121"/>
        <w:gridCol w:w="758"/>
        <w:gridCol w:w="690"/>
        <w:gridCol w:w="690"/>
      </w:tblGrid>
      <w:tr w14:paraId="0389C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jc w:val="center"/>
        </w:trPr>
        <w:tc>
          <w:tcPr>
            <w:tcW w:w="561" w:type="dxa"/>
            <w:vAlign w:val="center"/>
          </w:tcPr>
          <w:p w14:paraId="37C374C3">
            <w:pPr>
              <w:spacing w:line="360" w:lineRule="auto"/>
              <w:jc w:val="center"/>
              <w:rPr>
                <w:rFonts w:hint="eastAsia" w:ascii="宋体" w:hAnsi="宋体" w:cs="宋体"/>
                <w:bCs/>
                <w:sz w:val="22"/>
              </w:rPr>
            </w:pPr>
            <w:r>
              <w:rPr>
                <w:rFonts w:hint="eastAsia" w:ascii="宋体" w:hAnsi="宋体" w:cs="宋体"/>
                <w:bCs/>
                <w:sz w:val="22"/>
              </w:rPr>
              <w:t>序号</w:t>
            </w:r>
          </w:p>
        </w:tc>
        <w:tc>
          <w:tcPr>
            <w:tcW w:w="1330" w:type="dxa"/>
            <w:vAlign w:val="center"/>
          </w:tcPr>
          <w:p w14:paraId="60632033">
            <w:pPr>
              <w:spacing w:line="360" w:lineRule="auto"/>
              <w:jc w:val="center"/>
              <w:rPr>
                <w:rFonts w:hint="eastAsia" w:ascii="宋体" w:hAnsi="宋体" w:cs="宋体"/>
                <w:bCs/>
                <w:sz w:val="22"/>
              </w:rPr>
            </w:pPr>
            <w:r>
              <w:rPr>
                <w:rFonts w:hint="eastAsia" w:ascii="宋体" w:hAnsi="宋体" w:cs="宋体"/>
                <w:bCs/>
                <w:sz w:val="22"/>
              </w:rPr>
              <w:t>设备（产品）名称</w:t>
            </w:r>
          </w:p>
        </w:tc>
        <w:tc>
          <w:tcPr>
            <w:tcW w:w="734" w:type="dxa"/>
            <w:vAlign w:val="center"/>
          </w:tcPr>
          <w:p w14:paraId="55D729AE">
            <w:pPr>
              <w:spacing w:line="360" w:lineRule="auto"/>
              <w:jc w:val="center"/>
              <w:rPr>
                <w:rFonts w:hint="eastAsia" w:ascii="宋体" w:hAnsi="宋体" w:cs="宋体"/>
                <w:bCs/>
                <w:sz w:val="22"/>
              </w:rPr>
            </w:pPr>
            <w:r>
              <w:rPr>
                <w:rFonts w:hint="eastAsia" w:ascii="宋体" w:hAnsi="宋体" w:cs="宋体"/>
                <w:bCs/>
                <w:sz w:val="22"/>
              </w:rPr>
              <w:t>厂家</w:t>
            </w:r>
          </w:p>
        </w:tc>
        <w:tc>
          <w:tcPr>
            <w:tcW w:w="756" w:type="dxa"/>
            <w:vAlign w:val="center"/>
          </w:tcPr>
          <w:p w14:paraId="3A66DA4B">
            <w:pPr>
              <w:spacing w:line="360" w:lineRule="auto"/>
              <w:jc w:val="center"/>
              <w:rPr>
                <w:rFonts w:hint="eastAsia" w:ascii="宋体" w:hAnsi="宋体" w:cs="宋体"/>
                <w:bCs/>
                <w:sz w:val="22"/>
              </w:rPr>
            </w:pPr>
            <w:r>
              <w:rPr>
                <w:rFonts w:hint="eastAsia" w:ascii="宋体" w:hAnsi="宋体" w:cs="宋体"/>
                <w:bCs/>
                <w:sz w:val="22"/>
              </w:rPr>
              <w:t>品牌</w:t>
            </w:r>
          </w:p>
        </w:tc>
        <w:tc>
          <w:tcPr>
            <w:tcW w:w="785" w:type="dxa"/>
            <w:vAlign w:val="center"/>
          </w:tcPr>
          <w:p w14:paraId="16D1402C">
            <w:pPr>
              <w:spacing w:line="360" w:lineRule="auto"/>
              <w:jc w:val="center"/>
              <w:rPr>
                <w:rFonts w:hint="eastAsia" w:ascii="宋体" w:hAnsi="宋体" w:cs="宋体"/>
                <w:bCs/>
                <w:sz w:val="22"/>
              </w:rPr>
            </w:pPr>
            <w:r>
              <w:rPr>
                <w:rFonts w:hint="eastAsia" w:ascii="宋体" w:hAnsi="宋体" w:cs="宋体"/>
                <w:bCs/>
                <w:sz w:val="22"/>
              </w:rPr>
              <w:t>型号</w:t>
            </w:r>
          </w:p>
        </w:tc>
        <w:tc>
          <w:tcPr>
            <w:tcW w:w="834" w:type="dxa"/>
            <w:vAlign w:val="center"/>
          </w:tcPr>
          <w:p w14:paraId="7497920D">
            <w:pPr>
              <w:spacing w:line="360" w:lineRule="auto"/>
              <w:jc w:val="center"/>
              <w:rPr>
                <w:rFonts w:hint="eastAsia" w:ascii="宋体" w:hAnsi="宋体" w:cs="宋体"/>
                <w:bCs/>
                <w:sz w:val="22"/>
              </w:rPr>
            </w:pPr>
            <w:r>
              <w:rPr>
                <w:rFonts w:hint="eastAsia" w:ascii="宋体" w:hAnsi="宋体" w:cs="宋体"/>
                <w:bCs/>
                <w:sz w:val="22"/>
              </w:rPr>
              <w:t>数量</w:t>
            </w:r>
          </w:p>
        </w:tc>
        <w:tc>
          <w:tcPr>
            <w:tcW w:w="673" w:type="dxa"/>
            <w:vAlign w:val="center"/>
          </w:tcPr>
          <w:p w14:paraId="75CAF428">
            <w:pPr>
              <w:spacing w:line="360" w:lineRule="auto"/>
              <w:jc w:val="center"/>
              <w:rPr>
                <w:rFonts w:hint="eastAsia" w:ascii="宋体" w:hAnsi="宋体" w:cs="宋体"/>
                <w:bCs/>
                <w:sz w:val="22"/>
              </w:rPr>
            </w:pPr>
            <w:r>
              <w:rPr>
                <w:rFonts w:hint="eastAsia" w:ascii="宋体" w:hAnsi="宋体" w:cs="宋体"/>
                <w:bCs/>
                <w:sz w:val="22"/>
              </w:rPr>
              <w:t>计量单位</w:t>
            </w:r>
          </w:p>
        </w:tc>
        <w:tc>
          <w:tcPr>
            <w:tcW w:w="913" w:type="dxa"/>
            <w:vAlign w:val="center"/>
          </w:tcPr>
          <w:p w14:paraId="0605910E">
            <w:pPr>
              <w:spacing w:line="360" w:lineRule="auto"/>
              <w:jc w:val="center"/>
              <w:rPr>
                <w:rFonts w:hint="eastAsia" w:ascii="宋体" w:hAnsi="宋体" w:cs="宋体"/>
                <w:bCs/>
                <w:sz w:val="22"/>
              </w:rPr>
            </w:pPr>
            <w:r>
              <w:rPr>
                <w:rFonts w:hint="eastAsia" w:ascii="宋体" w:hAnsi="宋体" w:cs="宋体"/>
                <w:bCs/>
                <w:sz w:val="22"/>
              </w:rPr>
              <w:t>投标单价（元）</w:t>
            </w:r>
          </w:p>
        </w:tc>
        <w:tc>
          <w:tcPr>
            <w:tcW w:w="1121" w:type="dxa"/>
            <w:vAlign w:val="center"/>
          </w:tcPr>
          <w:p w14:paraId="1E9A7691">
            <w:pPr>
              <w:spacing w:line="360" w:lineRule="auto"/>
              <w:jc w:val="center"/>
              <w:rPr>
                <w:rFonts w:hint="eastAsia" w:ascii="宋体" w:hAnsi="宋体" w:cs="宋体"/>
                <w:bCs/>
                <w:sz w:val="22"/>
              </w:rPr>
            </w:pPr>
            <w:r>
              <w:rPr>
                <w:rFonts w:hint="eastAsia" w:ascii="宋体" w:hAnsi="宋体" w:cs="宋体"/>
                <w:bCs/>
                <w:sz w:val="22"/>
              </w:rPr>
              <w:t>投标合价</w:t>
            </w:r>
          </w:p>
          <w:p w14:paraId="26C36029">
            <w:pPr>
              <w:spacing w:line="360" w:lineRule="auto"/>
              <w:jc w:val="center"/>
              <w:rPr>
                <w:rFonts w:hint="eastAsia" w:ascii="宋体" w:hAnsi="宋体" w:cs="宋体"/>
                <w:bCs/>
                <w:sz w:val="22"/>
              </w:rPr>
            </w:pPr>
            <w:r>
              <w:rPr>
                <w:rFonts w:hint="eastAsia" w:ascii="宋体" w:hAnsi="宋体" w:cs="宋体"/>
                <w:bCs/>
                <w:sz w:val="22"/>
              </w:rPr>
              <w:t>（元）</w:t>
            </w:r>
          </w:p>
        </w:tc>
        <w:tc>
          <w:tcPr>
            <w:tcW w:w="758" w:type="dxa"/>
            <w:vAlign w:val="center"/>
          </w:tcPr>
          <w:p w14:paraId="304CC350">
            <w:pPr>
              <w:spacing w:line="360" w:lineRule="auto"/>
              <w:jc w:val="center"/>
              <w:rPr>
                <w:rFonts w:hint="eastAsia" w:ascii="宋体" w:hAnsi="宋体" w:cs="宋体"/>
                <w:bCs/>
                <w:sz w:val="22"/>
              </w:rPr>
            </w:pPr>
            <w:r>
              <w:rPr>
                <w:rFonts w:hint="eastAsia" w:ascii="宋体" w:hAnsi="宋体" w:cs="宋体"/>
                <w:b/>
                <w:sz w:val="22"/>
              </w:rPr>
              <w:t>厂家所属情形</w:t>
            </w:r>
          </w:p>
        </w:tc>
        <w:tc>
          <w:tcPr>
            <w:tcW w:w="690" w:type="dxa"/>
            <w:vAlign w:val="center"/>
          </w:tcPr>
          <w:p w14:paraId="0BED934E">
            <w:pPr>
              <w:spacing w:line="360" w:lineRule="auto"/>
              <w:jc w:val="center"/>
              <w:rPr>
                <w:rFonts w:hint="eastAsia" w:ascii="宋体" w:hAnsi="宋体" w:cs="宋体"/>
                <w:b/>
                <w:sz w:val="22"/>
              </w:rPr>
            </w:pPr>
            <w:r>
              <w:rPr>
                <w:rFonts w:hint="eastAsia" w:ascii="宋体" w:hAnsi="宋体" w:cs="宋体"/>
                <w:b/>
                <w:sz w:val="22"/>
              </w:rPr>
              <w:t>产品国别</w:t>
            </w:r>
          </w:p>
        </w:tc>
        <w:tc>
          <w:tcPr>
            <w:tcW w:w="690" w:type="dxa"/>
            <w:vAlign w:val="center"/>
          </w:tcPr>
          <w:p w14:paraId="3438D680">
            <w:pPr>
              <w:spacing w:line="360" w:lineRule="auto"/>
              <w:jc w:val="center"/>
              <w:rPr>
                <w:rFonts w:hint="eastAsia" w:ascii="宋体" w:hAnsi="宋体" w:cs="宋体"/>
                <w:bCs/>
                <w:sz w:val="22"/>
              </w:rPr>
            </w:pPr>
            <w:r>
              <w:rPr>
                <w:rFonts w:hint="eastAsia" w:ascii="宋体" w:hAnsi="宋体" w:cs="宋体"/>
                <w:bCs/>
                <w:sz w:val="22"/>
              </w:rPr>
              <w:t>备注</w:t>
            </w:r>
          </w:p>
        </w:tc>
      </w:tr>
      <w:tr w14:paraId="103A3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561" w:type="dxa"/>
            <w:vAlign w:val="center"/>
          </w:tcPr>
          <w:p w14:paraId="583FE121">
            <w:pPr>
              <w:spacing w:line="360" w:lineRule="auto"/>
              <w:jc w:val="center"/>
              <w:rPr>
                <w:rFonts w:hint="eastAsia" w:ascii="宋体" w:hAnsi="宋体" w:cs="宋体"/>
                <w:bCs/>
                <w:sz w:val="22"/>
              </w:rPr>
            </w:pPr>
            <w:r>
              <w:rPr>
                <w:rFonts w:hint="eastAsia" w:ascii="宋体" w:hAnsi="宋体" w:cs="宋体"/>
                <w:bCs/>
                <w:sz w:val="22"/>
              </w:rPr>
              <w:t>1</w:t>
            </w:r>
          </w:p>
        </w:tc>
        <w:tc>
          <w:tcPr>
            <w:tcW w:w="1330" w:type="dxa"/>
            <w:vAlign w:val="center"/>
          </w:tcPr>
          <w:p w14:paraId="25AC914C">
            <w:pPr>
              <w:spacing w:line="360" w:lineRule="auto"/>
              <w:jc w:val="center"/>
              <w:rPr>
                <w:rFonts w:hint="eastAsia" w:ascii="宋体" w:hAnsi="宋体" w:cs="宋体"/>
                <w:bCs/>
                <w:sz w:val="22"/>
              </w:rPr>
            </w:pPr>
            <w:r>
              <w:rPr>
                <w:rFonts w:hint="eastAsia" w:ascii="宋体" w:hAnsi="宋体" w:cs="宋体"/>
                <w:bCs/>
                <w:sz w:val="22"/>
              </w:rPr>
              <w:t xml:space="preserve"> </w:t>
            </w:r>
          </w:p>
        </w:tc>
        <w:tc>
          <w:tcPr>
            <w:tcW w:w="734" w:type="dxa"/>
            <w:vAlign w:val="center"/>
          </w:tcPr>
          <w:p w14:paraId="684ED012">
            <w:pPr>
              <w:spacing w:line="360" w:lineRule="auto"/>
              <w:jc w:val="center"/>
              <w:rPr>
                <w:rFonts w:hint="eastAsia" w:ascii="宋体" w:hAnsi="宋体" w:cs="宋体"/>
                <w:bCs/>
                <w:sz w:val="22"/>
              </w:rPr>
            </w:pPr>
          </w:p>
        </w:tc>
        <w:tc>
          <w:tcPr>
            <w:tcW w:w="756" w:type="dxa"/>
            <w:vAlign w:val="center"/>
          </w:tcPr>
          <w:p w14:paraId="32913CF9">
            <w:pPr>
              <w:spacing w:line="360" w:lineRule="auto"/>
              <w:jc w:val="center"/>
              <w:rPr>
                <w:rFonts w:hint="eastAsia" w:ascii="宋体" w:hAnsi="宋体" w:cs="宋体"/>
                <w:bCs/>
                <w:sz w:val="22"/>
              </w:rPr>
            </w:pPr>
          </w:p>
        </w:tc>
        <w:tc>
          <w:tcPr>
            <w:tcW w:w="785" w:type="dxa"/>
            <w:vAlign w:val="center"/>
          </w:tcPr>
          <w:p w14:paraId="08DCEEA8">
            <w:pPr>
              <w:spacing w:line="360" w:lineRule="auto"/>
              <w:jc w:val="center"/>
              <w:rPr>
                <w:rFonts w:hint="eastAsia" w:ascii="宋体" w:hAnsi="宋体" w:cs="宋体"/>
                <w:bCs/>
                <w:sz w:val="22"/>
              </w:rPr>
            </w:pPr>
          </w:p>
        </w:tc>
        <w:tc>
          <w:tcPr>
            <w:tcW w:w="834" w:type="dxa"/>
            <w:vAlign w:val="center"/>
          </w:tcPr>
          <w:p w14:paraId="1EBC607A">
            <w:pPr>
              <w:spacing w:line="360" w:lineRule="auto"/>
              <w:jc w:val="center"/>
              <w:rPr>
                <w:rFonts w:hint="eastAsia" w:ascii="宋体" w:hAnsi="宋体" w:cs="宋体"/>
                <w:bCs/>
                <w:sz w:val="22"/>
              </w:rPr>
            </w:pPr>
            <w:r>
              <w:rPr>
                <w:rFonts w:hint="eastAsia" w:ascii="宋体" w:hAnsi="宋体" w:cs="宋体"/>
                <w:bCs/>
                <w:sz w:val="22"/>
              </w:rPr>
              <w:t xml:space="preserve"> </w:t>
            </w:r>
          </w:p>
        </w:tc>
        <w:tc>
          <w:tcPr>
            <w:tcW w:w="673" w:type="dxa"/>
            <w:vAlign w:val="center"/>
          </w:tcPr>
          <w:p w14:paraId="3BCDD9B3">
            <w:pPr>
              <w:spacing w:line="360" w:lineRule="auto"/>
              <w:jc w:val="center"/>
              <w:rPr>
                <w:rFonts w:hint="eastAsia" w:ascii="宋体" w:hAnsi="宋体" w:cs="宋体"/>
                <w:bCs/>
                <w:sz w:val="22"/>
              </w:rPr>
            </w:pPr>
          </w:p>
        </w:tc>
        <w:tc>
          <w:tcPr>
            <w:tcW w:w="913" w:type="dxa"/>
            <w:vAlign w:val="center"/>
          </w:tcPr>
          <w:p w14:paraId="63257667">
            <w:pPr>
              <w:spacing w:line="360" w:lineRule="auto"/>
              <w:jc w:val="center"/>
              <w:rPr>
                <w:rFonts w:hint="eastAsia" w:ascii="宋体" w:hAnsi="宋体" w:cs="宋体"/>
                <w:bCs/>
                <w:sz w:val="22"/>
              </w:rPr>
            </w:pPr>
          </w:p>
        </w:tc>
        <w:tc>
          <w:tcPr>
            <w:tcW w:w="1121" w:type="dxa"/>
          </w:tcPr>
          <w:p w14:paraId="2F3C271C">
            <w:pPr>
              <w:spacing w:line="360" w:lineRule="auto"/>
              <w:rPr>
                <w:rFonts w:hint="eastAsia" w:ascii="宋体" w:hAnsi="宋体" w:cs="宋体"/>
                <w:bCs/>
                <w:sz w:val="22"/>
              </w:rPr>
            </w:pPr>
          </w:p>
        </w:tc>
        <w:tc>
          <w:tcPr>
            <w:tcW w:w="758" w:type="dxa"/>
          </w:tcPr>
          <w:p w14:paraId="31B520E9">
            <w:pPr>
              <w:spacing w:line="360" w:lineRule="auto"/>
              <w:rPr>
                <w:rFonts w:hint="eastAsia" w:ascii="宋体" w:hAnsi="宋体" w:cs="宋体"/>
                <w:bCs/>
                <w:sz w:val="22"/>
              </w:rPr>
            </w:pPr>
          </w:p>
        </w:tc>
        <w:tc>
          <w:tcPr>
            <w:tcW w:w="690" w:type="dxa"/>
          </w:tcPr>
          <w:p w14:paraId="0CBC45EB">
            <w:pPr>
              <w:spacing w:line="360" w:lineRule="auto"/>
              <w:rPr>
                <w:rFonts w:hint="eastAsia" w:ascii="宋体" w:hAnsi="宋体" w:cs="宋体"/>
                <w:bCs/>
                <w:sz w:val="22"/>
              </w:rPr>
            </w:pPr>
          </w:p>
        </w:tc>
        <w:tc>
          <w:tcPr>
            <w:tcW w:w="690" w:type="dxa"/>
          </w:tcPr>
          <w:p w14:paraId="2DD2EF7C">
            <w:pPr>
              <w:spacing w:line="360" w:lineRule="auto"/>
              <w:rPr>
                <w:rFonts w:hint="eastAsia" w:ascii="宋体" w:hAnsi="宋体" w:cs="宋体"/>
                <w:bCs/>
                <w:sz w:val="22"/>
              </w:rPr>
            </w:pPr>
          </w:p>
        </w:tc>
      </w:tr>
      <w:tr w14:paraId="34633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561" w:type="dxa"/>
            <w:vAlign w:val="center"/>
          </w:tcPr>
          <w:p w14:paraId="24F03F4C">
            <w:pPr>
              <w:spacing w:line="360" w:lineRule="auto"/>
              <w:jc w:val="center"/>
              <w:rPr>
                <w:rFonts w:hint="eastAsia" w:ascii="宋体" w:hAnsi="宋体" w:cs="宋体"/>
                <w:bCs/>
                <w:sz w:val="22"/>
              </w:rPr>
            </w:pPr>
            <w:r>
              <w:rPr>
                <w:rFonts w:hint="eastAsia" w:ascii="宋体" w:hAnsi="宋体" w:cs="宋体"/>
                <w:bCs/>
                <w:sz w:val="22"/>
              </w:rPr>
              <w:t>2</w:t>
            </w:r>
          </w:p>
        </w:tc>
        <w:tc>
          <w:tcPr>
            <w:tcW w:w="1330" w:type="dxa"/>
            <w:vAlign w:val="center"/>
          </w:tcPr>
          <w:p w14:paraId="2FB8FD62">
            <w:pPr>
              <w:spacing w:line="360" w:lineRule="auto"/>
              <w:jc w:val="center"/>
              <w:rPr>
                <w:rFonts w:hint="eastAsia" w:ascii="宋体" w:hAnsi="宋体" w:cs="宋体"/>
                <w:bCs/>
                <w:sz w:val="22"/>
              </w:rPr>
            </w:pPr>
          </w:p>
        </w:tc>
        <w:tc>
          <w:tcPr>
            <w:tcW w:w="734" w:type="dxa"/>
            <w:vAlign w:val="center"/>
          </w:tcPr>
          <w:p w14:paraId="66DD69F9">
            <w:pPr>
              <w:spacing w:line="360" w:lineRule="auto"/>
              <w:jc w:val="center"/>
              <w:rPr>
                <w:rFonts w:hint="eastAsia" w:ascii="宋体" w:hAnsi="宋体" w:cs="宋体"/>
                <w:bCs/>
                <w:sz w:val="22"/>
              </w:rPr>
            </w:pPr>
          </w:p>
        </w:tc>
        <w:tc>
          <w:tcPr>
            <w:tcW w:w="756" w:type="dxa"/>
            <w:vAlign w:val="center"/>
          </w:tcPr>
          <w:p w14:paraId="57375956">
            <w:pPr>
              <w:spacing w:line="360" w:lineRule="auto"/>
              <w:jc w:val="center"/>
              <w:rPr>
                <w:rFonts w:hint="eastAsia" w:ascii="宋体" w:hAnsi="宋体" w:cs="宋体"/>
                <w:bCs/>
                <w:sz w:val="22"/>
              </w:rPr>
            </w:pPr>
          </w:p>
        </w:tc>
        <w:tc>
          <w:tcPr>
            <w:tcW w:w="785" w:type="dxa"/>
            <w:vAlign w:val="center"/>
          </w:tcPr>
          <w:p w14:paraId="016B16F5">
            <w:pPr>
              <w:spacing w:line="360" w:lineRule="auto"/>
              <w:jc w:val="center"/>
              <w:rPr>
                <w:rFonts w:hint="eastAsia" w:ascii="宋体" w:hAnsi="宋体" w:cs="宋体"/>
                <w:bCs/>
                <w:sz w:val="22"/>
              </w:rPr>
            </w:pPr>
          </w:p>
        </w:tc>
        <w:tc>
          <w:tcPr>
            <w:tcW w:w="834" w:type="dxa"/>
            <w:vAlign w:val="center"/>
          </w:tcPr>
          <w:p w14:paraId="045C58E6">
            <w:pPr>
              <w:spacing w:line="360" w:lineRule="auto"/>
              <w:jc w:val="center"/>
              <w:rPr>
                <w:rFonts w:hint="eastAsia" w:ascii="宋体" w:hAnsi="宋体" w:cs="宋体"/>
                <w:bCs/>
                <w:sz w:val="22"/>
              </w:rPr>
            </w:pPr>
          </w:p>
        </w:tc>
        <w:tc>
          <w:tcPr>
            <w:tcW w:w="673" w:type="dxa"/>
            <w:vAlign w:val="center"/>
          </w:tcPr>
          <w:p w14:paraId="65CB2341">
            <w:pPr>
              <w:spacing w:line="360" w:lineRule="auto"/>
              <w:jc w:val="center"/>
              <w:rPr>
                <w:rFonts w:hint="eastAsia" w:ascii="宋体" w:hAnsi="宋体" w:cs="宋体"/>
                <w:bCs/>
                <w:sz w:val="22"/>
              </w:rPr>
            </w:pPr>
          </w:p>
        </w:tc>
        <w:tc>
          <w:tcPr>
            <w:tcW w:w="913" w:type="dxa"/>
            <w:vAlign w:val="center"/>
          </w:tcPr>
          <w:p w14:paraId="3D1466B0">
            <w:pPr>
              <w:spacing w:line="360" w:lineRule="auto"/>
              <w:jc w:val="center"/>
              <w:rPr>
                <w:rFonts w:hint="eastAsia" w:ascii="宋体" w:hAnsi="宋体" w:cs="宋体"/>
                <w:bCs/>
                <w:sz w:val="22"/>
              </w:rPr>
            </w:pPr>
          </w:p>
        </w:tc>
        <w:tc>
          <w:tcPr>
            <w:tcW w:w="1121" w:type="dxa"/>
          </w:tcPr>
          <w:p w14:paraId="52B44202">
            <w:pPr>
              <w:spacing w:line="360" w:lineRule="auto"/>
              <w:rPr>
                <w:rFonts w:hint="eastAsia" w:ascii="宋体" w:hAnsi="宋体" w:cs="宋体"/>
                <w:bCs/>
                <w:sz w:val="22"/>
              </w:rPr>
            </w:pPr>
          </w:p>
        </w:tc>
        <w:tc>
          <w:tcPr>
            <w:tcW w:w="758" w:type="dxa"/>
          </w:tcPr>
          <w:p w14:paraId="685518EC">
            <w:pPr>
              <w:spacing w:line="360" w:lineRule="auto"/>
              <w:rPr>
                <w:rFonts w:hint="eastAsia" w:ascii="宋体" w:hAnsi="宋体" w:cs="宋体"/>
                <w:bCs/>
                <w:sz w:val="22"/>
              </w:rPr>
            </w:pPr>
          </w:p>
        </w:tc>
        <w:tc>
          <w:tcPr>
            <w:tcW w:w="690" w:type="dxa"/>
          </w:tcPr>
          <w:p w14:paraId="23A9F98A">
            <w:pPr>
              <w:spacing w:line="360" w:lineRule="auto"/>
              <w:rPr>
                <w:rFonts w:hint="eastAsia" w:ascii="宋体" w:hAnsi="宋体" w:cs="宋体"/>
                <w:bCs/>
                <w:sz w:val="22"/>
              </w:rPr>
            </w:pPr>
          </w:p>
        </w:tc>
        <w:tc>
          <w:tcPr>
            <w:tcW w:w="690" w:type="dxa"/>
          </w:tcPr>
          <w:p w14:paraId="4AD6FAE0">
            <w:pPr>
              <w:spacing w:line="360" w:lineRule="auto"/>
              <w:rPr>
                <w:rFonts w:hint="eastAsia" w:ascii="宋体" w:hAnsi="宋体" w:cs="宋体"/>
                <w:bCs/>
                <w:sz w:val="22"/>
              </w:rPr>
            </w:pPr>
          </w:p>
        </w:tc>
      </w:tr>
      <w:tr w14:paraId="1DF8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561" w:type="dxa"/>
            <w:vAlign w:val="center"/>
          </w:tcPr>
          <w:p w14:paraId="5C786C70">
            <w:pPr>
              <w:spacing w:line="360" w:lineRule="auto"/>
              <w:jc w:val="center"/>
              <w:rPr>
                <w:rFonts w:hint="eastAsia" w:ascii="宋体" w:hAnsi="宋体" w:cs="宋体"/>
                <w:bCs/>
                <w:sz w:val="22"/>
              </w:rPr>
            </w:pPr>
            <w:r>
              <w:rPr>
                <w:rFonts w:hint="eastAsia" w:ascii="宋体" w:hAnsi="宋体" w:cs="宋体"/>
                <w:bCs/>
                <w:sz w:val="22"/>
              </w:rPr>
              <w:t>......</w:t>
            </w:r>
          </w:p>
        </w:tc>
        <w:tc>
          <w:tcPr>
            <w:tcW w:w="1330" w:type="dxa"/>
            <w:vAlign w:val="center"/>
          </w:tcPr>
          <w:p w14:paraId="12E4EECA">
            <w:pPr>
              <w:spacing w:line="360" w:lineRule="auto"/>
              <w:jc w:val="center"/>
              <w:rPr>
                <w:rFonts w:hint="eastAsia" w:ascii="宋体" w:hAnsi="宋体" w:cs="宋体"/>
                <w:bCs/>
                <w:sz w:val="22"/>
              </w:rPr>
            </w:pPr>
          </w:p>
        </w:tc>
        <w:tc>
          <w:tcPr>
            <w:tcW w:w="734" w:type="dxa"/>
            <w:vAlign w:val="center"/>
          </w:tcPr>
          <w:p w14:paraId="73A976A6">
            <w:pPr>
              <w:spacing w:line="360" w:lineRule="auto"/>
              <w:jc w:val="center"/>
              <w:rPr>
                <w:rFonts w:hint="eastAsia" w:ascii="宋体" w:hAnsi="宋体" w:cs="宋体"/>
                <w:bCs/>
                <w:sz w:val="22"/>
              </w:rPr>
            </w:pPr>
          </w:p>
        </w:tc>
        <w:tc>
          <w:tcPr>
            <w:tcW w:w="756" w:type="dxa"/>
            <w:vAlign w:val="center"/>
          </w:tcPr>
          <w:p w14:paraId="4739B225">
            <w:pPr>
              <w:spacing w:line="360" w:lineRule="auto"/>
              <w:jc w:val="center"/>
              <w:rPr>
                <w:rFonts w:hint="eastAsia" w:ascii="宋体" w:hAnsi="宋体" w:cs="宋体"/>
                <w:bCs/>
                <w:sz w:val="22"/>
              </w:rPr>
            </w:pPr>
          </w:p>
        </w:tc>
        <w:tc>
          <w:tcPr>
            <w:tcW w:w="785" w:type="dxa"/>
            <w:vAlign w:val="center"/>
          </w:tcPr>
          <w:p w14:paraId="0B740864">
            <w:pPr>
              <w:spacing w:line="360" w:lineRule="auto"/>
              <w:jc w:val="center"/>
              <w:rPr>
                <w:rFonts w:hint="eastAsia" w:ascii="宋体" w:hAnsi="宋体" w:cs="宋体"/>
                <w:bCs/>
                <w:sz w:val="22"/>
              </w:rPr>
            </w:pPr>
          </w:p>
        </w:tc>
        <w:tc>
          <w:tcPr>
            <w:tcW w:w="834" w:type="dxa"/>
            <w:vAlign w:val="center"/>
          </w:tcPr>
          <w:p w14:paraId="7D729AB9">
            <w:pPr>
              <w:spacing w:line="360" w:lineRule="auto"/>
              <w:jc w:val="center"/>
              <w:rPr>
                <w:rFonts w:hint="eastAsia" w:ascii="宋体" w:hAnsi="宋体" w:cs="宋体"/>
                <w:bCs/>
                <w:sz w:val="22"/>
              </w:rPr>
            </w:pPr>
          </w:p>
        </w:tc>
        <w:tc>
          <w:tcPr>
            <w:tcW w:w="673" w:type="dxa"/>
            <w:vAlign w:val="center"/>
          </w:tcPr>
          <w:p w14:paraId="30A6A677">
            <w:pPr>
              <w:spacing w:line="360" w:lineRule="auto"/>
              <w:jc w:val="center"/>
              <w:rPr>
                <w:rFonts w:hint="eastAsia" w:ascii="宋体" w:hAnsi="宋体" w:cs="宋体"/>
                <w:bCs/>
                <w:sz w:val="22"/>
              </w:rPr>
            </w:pPr>
          </w:p>
        </w:tc>
        <w:tc>
          <w:tcPr>
            <w:tcW w:w="913" w:type="dxa"/>
            <w:vAlign w:val="center"/>
          </w:tcPr>
          <w:p w14:paraId="044CF56E">
            <w:pPr>
              <w:spacing w:line="360" w:lineRule="auto"/>
              <w:jc w:val="center"/>
              <w:rPr>
                <w:rFonts w:hint="eastAsia" w:ascii="宋体" w:hAnsi="宋体" w:cs="宋体"/>
                <w:bCs/>
                <w:sz w:val="22"/>
              </w:rPr>
            </w:pPr>
          </w:p>
        </w:tc>
        <w:tc>
          <w:tcPr>
            <w:tcW w:w="1121" w:type="dxa"/>
          </w:tcPr>
          <w:p w14:paraId="17703A68">
            <w:pPr>
              <w:spacing w:line="360" w:lineRule="auto"/>
              <w:rPr>
                <w:rFonts w:hint="eastAsia" w:ascii="宋体" w:hAnsi="宋体" w:cs="宋体"/>
                <w:bCs/>
                <w:sz w:val="22"/>
              </w:rPr>
            </w:pPr>
          </w:p>
        </w:tc>
        <w:tc>
          <w:tcPr>
            <w:tcW w:w="758" w:type="dxa"/>
          </w:tcPr>
          <w:p w14:paraId="477D5929">
            <w:pPr>
              <w:spacing w:line="360" w:lineRule="auto"/>
              <w:rPr>
                <w:rFonts w:hint="eastAsia" w:ascii="宋体" w:hAnsi="宋体" w:cs="宋体"/>
                <w:bCs/>
                <w:sz w:val="22"/>
              </w:rPr>
            </w:pPr>
          </w:p>
        </w:tc>
        <w:tc>
          <w:tcPr>
            <w:tcW w:w="690" w:type="dxa"/>
          </w:tcPr>
          <w:p w14:paraId="2ED24845">
            <w:pPr>
              <w:spacing w:line="360" w:lineRule="auto"/>
              <w:rPr>
                <w:rFonts w:hint="eastAsia" w:ascii="宋体" w:hAnsi="宋体" w:cs="宋体"/>
                <w:bCs/>
                <w:sz w:val="22"/>
              </w:rPr>
            </w:pPr>
          </w:p>
        </w:tc>
        <w:tc>
          <w:tcPr>
            <w:tcW w:w="690" w:type="dxa"/>
          </w:tcPr>
          <w:p w14:paraId="542B58C1">
            <w:pPr>
              <w:spacing w:line="360" w:lineRule="auto"/>
              <w:rPr>
                <w:rFonts w:hint="eastAsia" w:ascii="宋体" w:hAnsi="宋体" w:cs="宋体"/>
                <w:bCs/>
                <w:sz w:val="22"/>
              </w:rPr>
            </w:pPr>
          </w:p>
        </w:tc>
      </w:tr>
      <w:tr w14:paraId="63B0D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5673" w:type="dxa"/>
            <w:gridSpan w:val="7"/>
            <w:vAlign w:val="center"/>
          </w:tcPr>
          <w:p w14:paraId="6D0BCF3F">
            <w:pPr>
              <w:spacing w:line="360" w:lineRule="auto"/>
              <w:jc w:val="center"/>
              <w:rPr>
                <w:rFonts w:hint="eastAsia" w:ascii="宋体" w:hAnsi="宋体" w:cs="宋体"/>
                <w:bCs/>
                <w:sz w:val="22"/>
              </w:rPr>
            </w:pPr>
            <w:r>
              <w:rPr>
                <w:rFonts w:hint="eastAsia" w:ascii="宋体" w:hAnsi="宋体" w:cs="宋体"/>
                <w:bCs/>
                <w:sz w:val="24"/>
                <w:shd w:val="clear" w:color="auto" w:fill="FFFFFF"/>
              </w:rPr>
              <w:t>合计（元）</w:t>
            </w:r>
          </w:p>
        </w:tc>
        <w:tc>
          <w:tcPr>
            <w:tcW w:w="3482" w:type="dxa"/>
            <w:gridSpan w:val="4"/>
            <w:vAlign w:val="center"/>
          </w:tcPr>
          <w:p w14:paraId="791A97B9">
            <w:pPr>
              <w:spacing w:line="360" w:lineRule="auto"/>
              <w:rPr>
                <w:rFonts w:hint="eastAsia" w:ascii="宋体" w:hAnsi="宋体" w:cs="宋体"/>
                <w:bCs/>
                <w:sz w:val="22"/>
              </w:rPr>
            </w:pPr>
          </w:p>
        </w:tc>
        <w:tc>
          <w:tcPr>
            <w:tcW w:w="690" w:type="dxa"/>
            <w:vAlign w:val="center"/>
          </w:tcPr>
          <w:p w14:paraId="0C3B8D85">
            <w:pPr>
              <w:spacing w:line="360" w:lineRule="auto"/>
              <w:rPr>
                <w:rFonts w:hint="eastAsia" w:ascii="宋体" w:hAnsi="宋体" w:cs="宋体"/>
                <w:bCs/>
                <w:sz w:val="22"/>
              </w:rPr>
            </w:pPr>
          </w:p>
        </w:tc>
      </w:tr>
    </w:tbl>
    <w:p w14:paraId="13396A3F">
      <w:pPr>
        <w:shd w:val="solid" w:color="FFFFFF" w:fill="auto"/>
        <w:autoSpaceDN w:val="0"/>
        <w:spacing w:line="360" w:lineRule="auto"/>
        <w:jc w:val="left"/>
        <w:rPr>
          <w:rFonts w:hint="eastAsia" w:ascii="宋体" w:hAnsi="宋体" w:cs="宋体"/>
          <w:b/>
          <w:bCs/>
          <w:sz w:val="22"/>
          <w:szCs w:val="22"/>
          <w:shd w:val="clear" w:color="auto" w:fill="FFFFFF"/>
        </w:rPr>
      </w:pPr>
      <w:r>
        <w:rPr>
          <w:rFonts w:hint="eastAsia" w:ascii="宋体" w:hAnsi="宋体" w:cs="宋体"/>
          <w:b/>
          <w:bCs/>
          <w:sz w:val="22"/>
          <w:szCs w:val="22"/>
          <w:shd w:val="clear" w:color="auto" w:fill="FFFFFF"/>
        </w:rPr>
        <w:t>表格可扩展。</w:t>
      </w:r>
    </w:p>
    <w:p w14:paraId="1CADC0E4">
      <w:pPr>
        <w:shd w:val="solid" w:color="FFFFFF" w:fill="auto"/>
        <w:autoSpaceDN w:val="0"/>
        <w:spacing w:line="360" w:lineRule="auto"/>
        <w:jc w:val="left"/>
        <w:rPr>
          <w:rFonts w:hint="eastAsia" w:ascii="宋体" w:hAnsi="宋体" w:cs="宋体"/>
          <w:sz w:val="22"/>
          <w:szCs w:val="22"/>
          <w:shd w:val="clear" w:color="auto" w:fill="FFFFFF"/>
        </w:rPr>
      </w:pPr>
      <w:r>
        <w:rPr>
          <w:rFonts w:hint="eastAsia" w:ascii="宋体" w:hAnsi="宋体" w:cs="宋体"/>
          <w:b/>
          <w:bCs/>
          <w:sz w:val="22"/>
          <w:szCs w:val="22"/>
          <w:shd w:val="clear" w:color="auto" w:fill="FFFFFF"/>
        </w:rPr>
        <w:t>注：</w:t>
      </w:r>
      <w:r>
        <w:rPr>
          <w:rFonts w:hint="eastAsia" w:ascii="宋体" w:hAnsi="宋体" w:cs="宋体"/>
          <w:sz w:val="22"/>
          <w:szCs w:val="22"/>
          <w:shd w:val="clear" w:color="auto" w:fill="FFFFFF"/>
        </w:rPr>
        <w:t>①表格中“厂家所属情形”指投标人所投产品的厂家属于何种类型的企业（填写大型企业或中型企业或小型企业或微型企业）；若投标人符合招标文件中第二章《投标人须知前附表》第29条中相关规定的，则投标人须按其规定提供声明函。</w:t>
      </w:r>
      <w:r>
        <w:rPr>
          <w:rFonts w:hint="eastAsia" w:ascii="宋体" w:hAnsi="宋体" w:cs="宋体"/>
          <w:b/>
          <w:bCs/>
          <w:sz w:val="22"/>
          <w:szCs w:val="22"/>
          <w:shd w:val="clear" w:color="auto" w:fill="FFFFFF"/>
        </w:rPr>
        <w:t> </w:t>
      </w:r>
    </w:p>
    <w:p w14:paraId="50CDA1AD">
      <w:pPr>
        <w:pStyle w:val="29"/>
        <w:spacing w:before="0" w:after="0" w:line="360" w:lineRule="auto"/>
        <w:ind w:firstLine="480" w:firstLineChars="200"/>
        <w:rPr>
          <w:rFonts w:hint="eastAsia" w:ascii="宋体" w:hAnsi="宋体" w:cs="宋体"/>
          <w:bCs w:val="0"/>
          <w:sz w:val="22"/>
          <w:szCs w:val="22"/>
        </w:rPr>
      </w:pPr>
      <w:r>
        <w:rPr>
          <w:rFonts w:hint="eastAsia" w:ascii="宋体" w:hAnsi="宋体" w:cs="宋体"/>
          <w:bCs w:val="0"/>
          <w:sz w:val="22"/>
          <w:szCs w:val="22"/>
        </w:rPr>
        <w:t>②投标人对每包件内所有采购内容进行整体投标并作出完整唯一的投标报价，不得出现缺项、漏项或无报价情况，每一项设备的投标报价单价和合价均不得超过采购预算单价和合价，否则按无效标书处理。</w:t>
      </w:r>
    </w:p>
    <w:p w14:paraId="7BC0422F">
      <w:pPr>
        <w:pStyle w:val="29"/>
        <w:spacing w:before="0" w:after="0" w:line="360" w:lineRule="auto"/>
        <w:ind w:firstLine="480" w:firstLineChars="200"/>
        <w:rPr>
          <w:rFonts w:hint="eastAsia" w:ascii="宋体" w:hAnsi="宋体" w:cs="宋体"/>
          <w:bCs w:val="0"/>
          <w:sz w:val="22"/>
          <w:szCs w:val="22"/>
        </w:rPr>
      </w:pPr>
      <w:r>
        <w:rPr>
          <w:rFonts w:hint="eastAsia" w:ascii="宋体" w:hAnsi="宋体" w:cs="宋体"/>
          <w:bCs w:val="0"/>
          <w:sz w:val="22"/>
          <w:szCs w:val="22"/>
        </w:rPr>
        <w:t>③此表中“合计（元）”的金额应与“一、投标（唱标）报价一览表”中的投标总报价一致。</w:t>
      </w:r>
    </w:p>
    <w:p w14:paraId="19B80B33">
      <w:pPr>
        <w:shd w:val="solid" w:color="FFFFFF" w:fill="auto"/>
        <w:autoSpaceDN w:val="0"/>
        <w:spacing w:line="360" w:lineRule="auto"/>
        <w:jc w:val="left"/>
        <w:rPr>
          <w:rFonts w:hint="eastAsia" w:ascii="宋体" w:hAnsi="宋体" w:cs="宋体"/>
          <w:sz w:val="24"/>
        </w:rPr>
      </w:pPr>
      <w:r>
        <w:rPr>
          <w:rFonts w:hint="eastAsia" w:ascii="宋体" w:hAnsi="宋体" w:cs="宋体"/>
          <w:sz w:val="24"/>
        </w:rPr>
        <w:t xml:space="preserve"> </w:t>
      </w:r>
    </w:p>
    <w:p w14:paraId="44925C66">
      <w:pPr>
        <w:shd w:val="solid" w:color="FFFFFF" w:fill="auto"/>
        <w:autoSpaceDN w:val="0"/>
        <w:spacing w:line="360" w:lineRule="auto"/>
        <w:jc w:val="left"/>
        <w:rPr>
          <w:rFonts w:hint="eastAsia" w:ascii="宋体" w:hAnsi="宋体" w:cs="宋体"/>
          <w:sz w:val="24"/>
          <w:shd w:val="clear" w:color="auto" w:fill="FFFFFF"/>
        </w:rPr>
      </w:pPr>
      <w:r>
        <w:rPr>
          <w:rFonts w:hint="eastAsia" w:ascii="宋体" w:hAnsi="宋体" w:cs="宋体"/>
          <w:sz w:val="24"/>
        </w:rPr>
        <w:t>投标人：</w:t>
      </w:r>
      <w:r>
        <w:rPr>
          <w:rFonts w:hint="eastAsia" w:ascii="宋体" w:hAnsi="宋体" w:cs="宋体"/>
          <w:sz w:val="24"/>
          <w:u w:val="single"/>
        </w:rPr>
        <w:t xml:space="preserve">      （投标人全称）      </w:t>
      </w:r>
      <w:r>
        <w:rPr>
          <w:rFonts w:hint="eastAsia" w:ascii="宋体" w:hAnsi="宋体" w:cs="宋体"/>
          <w:sz w:val="24"/>
        </w:rPr>
        <w:t>（电子签章）</w:t>
      </w:r>
    </w:p>
    <w:p w14:paraId="3DEF89B9">
      <w:pPr>
        <w:shd w:val="solid" w:color="FFFFFF" w:fill="auto"/>
        <w:autoSpaceDN w:val="0"/>
        <w:spacing w:line="360" w:lineRule="auto"/>
        <w:jc w:val="left"/>
        <w:rPr>
          <w:rFonts w:hint="eastAsia" w:ascii="宋体" w:hAnsi="宋体" w:cs="宋体"/>
          <w:sz w:val="24"/>
          <w:shd w:val="clear" w:color="auto" w:fill="FFFFFF"/>
        </w:rPr>
      </w:pPr>
      <w:r>
        <w:rPr>
          <w:rFonts w:hint="eastAsia" w:ascii="宋体" w:hAnsi="宋体" w:cs="宋体"/>
          <w:sz w:val="24"/>
          <w:shd w:val="clear" w:color="auto" w:fill="FFFFFF"/>
        </w:rPr>
        <w:t>法定代表人或其委托代理人：</w:t>
      </w:r>
      <w:r>
        <w:rPr>
          <w:rFonts w:hint="eastAsia" w:ascii="宋体" w:hAnsi="宋体" w:cs="宋体"/>
          <w:sz w:val="24"/>
          <w:u w:val="single"/>
          <w:shd w:val="clear" w:color="auto" w:fill="FFFFFF"/>
        </w:rPr>
        <w:t xml:space="preserve">　               </w:t>
      </w:r>
      <w:r>
        <w:rPr>
          <w:rFonts w:hint="eastAsia" w:ascii="宋体" w:hAnsi="宋体" w:cs="宋体"/>
          <w:sz w:val="24"/>
          <w:shd w:val="clear" w:color="auto" w:fill="FFFFFF"/>
        </w:rPr>
        <w:t>（电子签章或电子签名）</w:t>
      </w:r>
    </w:p>
    <w:p w14:paraId="298361CA">
      <w:pPr>
        <w:pStyle w:val="6"/>
        <w:spacing w:line="360" w:lineRule="auto"/>
        <w:rPr>
          <w:rFonts w:hint="eastAsia" w:ascii="宋体" w:hAnsi="宋体" w:cs="宋体"/>
          <w:sz w:val="24"/>
        </w:rPr>
      </w:pPr>
      <w:r>
        <w:rPr>
          <w:rFonts w:hint="eastAsia" w:ascii="宋体" w:hAnsi="宋体" w:cs="宋体"/>
          <w:sz w:val="24"/>
        </w:rPr>
        <w:t>日期：</w:t>
      </w:r>
      <w:r>
        <w:rPr>
          <w:rFonts w:hint="eastAsia" w:ascii="宋体" w:hAnsi="宋体" w:cs="宋体"/>
          <w:sz w:val="24"/>
          <w:u w:val="single"/>
          <w:shd w:val="clear" w:color="auto" w:fill="FFFFFF"/>
        </w:rPr>
        <w:t xml:space="preserve">　    </w:t>
      </w:r>
      <w:r>
        <w:rPr>
          <w:rFonts w:hint="eastAsia" w:ascii="宋体" w:hAnsi="宋体" w:cs="宋体"/>
          <w:sz w:val="24"/>
        </w:rPr>
        <w:t>年</w:t>
      </w:r>
      <w:r>
        <w:rPr>
          <w:rFonts w:hint="eastAsia" w:ascii="宋体" w:hAnsi="宋体" w:cs="宋体"/>
          <w:sz w:val="24"/>
          <w:u w:val="single"/>
          <w:shd w:val="clear" w:color="auto" w:fill="FFFFFF"/>
        </w:rPr>
        <w:t xml:space="preserve">　    </w:t>
      </w:r>
      <w:r>
        <w:rPr>
          <w:rFonts w:hint="eastAsia" w:ascii="宋体" w:hAnsi="宋体" w:cs="宋体"/>
          <w:sz w:val="24"/>
        </w:rPr>
        <w:t>月</w:t>
      </w:r>
      <w:r>
        <w:rPr>
          <w:rFonts w:hint="eastAsia" w:ascii="宋体" w:hAnsi="宋体" w:cs="宋体"/>
          <w:sz w:val="24"/>
          <w:u w:val="single"/>
          <w:shd w:val="clear" w:color="auto" w:fill="FFFFFF"/>
        </w:rPr>
        <w:t xml:space="preserve">　    </w:t>
      </w:r>
      <w:r>
        <w:rPr>
          <w:rFonts w:hint="eastAsia" w:ascii="宋体" w:hAnsi="宋体" w:cs="宋体"/>
          <w:sz w:val="24"/>
        </w:rPr>
        <w:t>日</w:t>
      </w:r>
    </w:p>
    <w:p w14:paraId="304B4538">
      <w:pPr>
        <w:shd w:val="solid" w:color="FFFFFF" w:fill="auto"/>
        <w:autoSpaceDN w:val="0"/>
        <w:spacing w:line="360" w:lineRule="auto"/>
        <w:jc w:val="center"/>
        <w:outlineLvl w:val="1"/>
        <w:rPr>
          <w:rFonts w:hint="eastAsia" w:ascii="宋体" w:hAnsi="宋体" w:cs="宋体"/>
          <w:b/>
          <w:bCs/>
          <w:sz w:val="32"/>
          <w:szCs w:val="32"/>
          <w:shd w:val="clear" w:color="auto" w:fill="FFFFFF"/>
        </w:rPr>
      </w:pPr>
      <w:r>
        <w:rPr>
          <w:rFonts w:hint="eastAsia" w:ascii="宋体" w:hAnsi="宋体" w:cs="宋体"/>
          <w:sz w:val="24"/>
        </w:rPr>
        <w:br w:type="page"/>
      </w:r>
      <w:bookmarkStart w:id="203" w:name="_Toc16367"/>
      <w:bookmarkStart w:id="204" w:name="_Toc18599"/>
      <w:bookmarkStart w:id="205" w:name="_Toc3215"/>
      <w:bookmarkStart w:id="206" w:name="_Toc5059"/>
      <w:r>
        <w:rPr>
          <w:rFonts w:hint="eastAsia" w:ascii="宋体" w:hAnsi="宋体" w:cs="宋体"/>
          <w:b/>
          <w:bCs/>
          <w:sz w:val="32"/>
          <w:szCs w:val="32"/>
          <w:shd w:val="clear" w:color="auto" w:fill="FFFFFF"/>
        </w:rPr>
        <w:t>七、响应偏离表</w:t>
      </w:r>
      <w:bookmarkEnd w:id="203"/>
      <w:bookmarkEnd w:id="204"/>
    </w:p>
    <w:p w14:paraId="52AB5015">
      <w:pPr>
        <w:spacing w:line="360" w:lineRule="auto"/>
        <w:jc w:val="center"/>
        <w:rPr>
          <w:rFonts w:hint="eastAsia" w:ascii="宋体" w:hAnsi="宋体" w:cs="宋体"/>
          <w:b/>
          <w:bCs/>
          <w:sz w:val="32"/>
          <w:szCs w:val="32"/>
          <w:shd w:val="clear" w:color="auto" w:fill="FFFFFF"/>
        </w:rPr>
      </w:pPr>
      <w:r>
        <w:rPr>
          <w:rFonts w:hint="eastAsia" w:ascii="宋体" w:hAnsi="宋体" w:cs="宋体"/>
          <w:b/>
          <w:bCs/>
          <w:sz w:val="32"/>
          <w:szCs w:val="32"/>
          <w:shd w:val="clear" w:color="auto" w:fill="FFFFFF"/>
        </w:rPr>
        <w:t>（一）商务部分响应偏离表</w:t>
      </w:r>
    </w:p>
    <w:p w14:paraId="112C0E33">
      <w:pPr>
        <w:shd w:val="solid" w:color="FFFFFF" w:fill="auto"/>
        <w:autoSpaceDN w:val="0"/>
        <w:spacing w:line="360" w:lineRule="auto"/>
        <w:rPr>
          <w:rFonts w:hint="eastAsia" w:ascii="宋体" w:hAnsi="宋体" w:cs="宋体"/>
          <w:sz w:val="24"/>
          <w:shd w:val="clear" w:color="auto" w:fill="FFFFFF"/>
        </w:rPr>
      </w:pPr>
    </w:p>
    <w:p w14:paraId="62296276">
      <w:pPr>
        <w:shd w:val="solid" w:color="FFFFFF" w:fill="auto"/>
        <w:autoSpaceDN w:val="0"/>
        <w:spacing w:line="360" w:lineRule="auto"/>
        <w:rPr>
          <w:rFonts w:hint="eastAsia" w:ascii="宋体" w:hAnsi="宋体" w:cs="宋体"/>
          <w:sz w:val="24"/>
          <w:u w:val="single"/>
          <w:shd w:val="clear" w:color="auto" w:fill="FFFFFF"/>
        </w:rPr>
      </w:pPr>
      <w:r>
        <w:rPr>
          <w:rFonts w:hint="eastAsia" w:ascii="宋体" w:hAnsi="宋体" w:cs="宋体"/>
          <w:sz w:val="24"/>
          <w:shd w:val="clear" w:color="auto" w:fill="FFFFFF"/>
        </w:rPr>
        <w:t>项目名称：</w:t>
      </w:r>
      <w:r>
        <w:rPr>
          <w:rFonts w:hint="eastAsia" w:ascii="宋体" w:hAnsi="宋体" w:cs="宋体"/>
          <w:sz w:val="24"/>
          <w:szCs w:val="20"/>
          <w:u w:val="single"/>
          <w:shd w:val="clear" w:color="auto" w:fill="FFFFFF"/>
        </w:rPr>
        <w:t>玉溪市2026年生态环境监测能力提升项目</w:t>
      </w:r>
    </w:p>
    <w:p w14:paraId="68B341F3">
      <w:pPr>
        <w:spacing w:line="360" w:lineRule="auto"/>
        <w:rPr>
          <w:rFonts w:hint="eastAsia" w:ascii="宋体" w:hAnsi="宋体" w:cs="宋体"/>
          <w:sz w:val="24"/>
          <w:u w:val="single"/>
        </w:rPr>
      </w:pPr>
      <w:r>
        <w:rPr>
          <w:rFonts w:hint="eastAsia" w:ascii="宋体" w:hAnsi="宋体" w:cs="宋体"/>
          <w:sz w:val="24"/>
          <w:shd w:val="clear" w:color="auto" w:fill="FFFFFF"/>
        </w:rPr>
        <w:t>项目编号：</w:t>
      </w:r>
      <w:r>
        <w:rPr>
          <w:rFonts w:hint="eastAsia" w:ascii="宋体" w:hAnsi="宋体" w:cs="宋体"/>
          <w:sz w:val="24"/>
          <w:u w:val="single"/>
          <w:shd w:val="clear" w:color="auto" w:fill="FFFFFF"/>
        </w:rPr>
        <w:t xml:space="preserve">                      </w:t>
      </w:r>
      <w:r>
        <w:rPr>
          <w:rFonts w:hint="eastAsia" w:ascii="宋体" w:hAnsi="宋体" w:cs="宋体"/>
          <w:sz w:val="24"/>
          <w:u w:val="single"/>
        </w:rPr>
        <w:t xml:space="preserve"> </w:t>
      </w:r>
    </w:p>
    <w:p w14:paraId="3FF5F57F">
      <w:pPr>
        <w:widowControl/>
        <w:snapToGrid w:val="0"/>
        <w:spacing w:line="360" w:lineRule="auto"/>
        <w:ind w:firstLine="420"/>
        <w:jc w:val="left"/>
        <w:rPr>
          <w:rFonts w:hint="eastAsia" w:ascii="宋体" w:hAnsi="宋体" w:cs="宋体"/>
          <w:color w:val="000000"/>
          <w:kern w:val="0"/>
          <w:sz w:val="24"/>
        </w:rPr>
      </w:pPr>
      <w:r>
        <w:rPr>
          <w:rFonts w:hint="eastAsia" w:ascii="宋体" w:hAnsi="宋体" w:cs="宋体"/>
          <w:b/>
          <w:bCs/>
          <w:color w:val="000000"/>
          <w:kern w:val="0"/>
          <w:sz w:val="28"/>
          <w:szCs w:val="28"/>
        </w:rPr>
        <w:t>□</w:t>
      </w:r>
      <w:r>
        <w:rPr>
          <w:rFonts w:hint="eastAsia" w:ascii="宋体" w:hAnsi="宋体" w:cs="宋体"/>
          <w:color w:val="000000"/>
          <w:kern w:val="0"/>
          <w:sz w:val="24"/>
        </w:rPr>
        <w:t>A、我公司已详细阅读招标文件中商务部分的各项内容，所有内容均无偏差，中标后我公司将严格遵照执行。</w:t>
      </w:r>
    </w:p>
    <w:p w14:paraId="59D7EA64">
      <w:pPr>
        <w:widowControl/>
        <w:snapToGrid w:val="0"/>
        <w:spacing w:line="360" w:lineRule="auto"/>
        <w:ind w:firstLine="420"/>
        <w:jc w:val="left"/>
        <w:rPr>
          <w:rFonts w:hint="eastAsia" w:ascii="宋体" w:hAnsi="宋体" w:cs="宋体"/>
          <w:color w:val="000000"/>
          <w:kern w:val="0"/>
          <w:sz w:val="24"/>
        </w:rPr>
      </w:pPr>
      <w:r>
        <w:rPr>
          <w:rFonts w:hint="eastAsia" w:ascii="宋体" w:hAnsi="宋体" w:cs="宋体"/>
          <w:b/>
          <w:bCs/>
          <w:color w:val="000000"/>
          <w:kern w:val="0"/>
          <w:sz w:val="28"/>
          <w:szCs w:val="28"/>
        </w:rPr>
        <w:t>□</w:t>
      </w:r>
      <w:r>
        <w:rPr>
          <w:rFonts w:hint="eastAsia" w:ascii="宋体" w:hAnsi="宋体" w:cs="宋体"/>
          <w:color w:val="000000"/>
          <w:kern w:val="0"/>
          <w:sz w:val="24"/>
        </w:rPr>
        <w:t>B、我公司已详细阅读招标文件中商务部分的各项内容，除下述条款有偏离外，其余条款我公司均予以认可，中标后将严格遵照执行。</w:t>
      </w:r>
    </w:p>
    <w:p w14:paraId="4B47F5B0">
      <w:pPr>
        <w:pStyle w:val="6"/>
        <w:spacing w:line="360" w:lineRule="auto"/>
        <w:jc w:val="center"/>
        <w:rPr>
          <w:color w:val="000000"/>
        </w:rPr>
      </w:pPr>
      <w:r>
        <w:rPr>
          <w:rFonts w:hint="eastAsia" w:ascii="宋体" w:hAnsi="宋体" w:cs="宋体"/>
          <w:b/>
          <w:bCs/>
          <w:color w:val="000000"/>
          <w:sz w:val="28"/>
          <w:szCs w:val="28"/>
        </w:rPr>
        <w:t>投标文件商务部分偏差的条款</w:t>
      </w:r>
    </w:p>
    <w:tbl>
      <w:tblPr>
        <w:tblStyle w:val="23"/>
        <w:tblW w:w="0" w:type="auto"/>
        <w:tblInd w:w="0" w:type="dxa"/>
        <w:tblLayout w:type="fixed"/>
        <w:tblCellMar>
          <w:top w:w="0" w:type="dxa"/>
          <w:left w:w="0" w:type="dxa"/>
          <w:bottom w:w="0" w:type="dxa"/>
          <w:right w:w="0" w:type="dxa"/>
        </w:tblCellMar>
      </w:tblPr>
      <w:tblGrid>
        <w:gridCol w:w="1013"/>
        <w:gridCol w:w="3444"/>
        <w:gridCol w:w="2731"/>
        <w:gridCol w:w="1645"/>
      </w:tblGrid>
      <w:tr w14:paraId="173BA1F4">
        <w:tblPrEx>
          <w:tblCellMar>
            <w:top w:w="0" w:type="dxa"/>
            <w:left w:w="0" w:type="dxa"/>
            <w:bottom w:w="0" w:type="dxa"/>
            <w:right w:w="0" w:type="dxa"/>
          </w:tblCellMar>
        </w:tblPrEx>
        <w:trPr>
          <w:trHeight w:val="662" w:hRule="atLeast"/>
        </w:trPr>
        <w:tc>
          <w:tcPr>
            <w:tcW w:w="10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2A94857">
            <w:pPr>
              <w:widowControl/>
              <w:snapToGrid w:val="0"/>
              <w:spacing w:line="360" w:lineRule="auto"/>
              <w:jc w:val="center"/>
              <w:rPr>
                <w:rFonts w:hint="eastAsia" w:ascii="宋体" w:hAnsi="宋体" w:cs="宋体"/>
                <w:color w:val="000000"/>
                <w:kern w:val="0"/>
                <w:sz w:val="24"/>
              </w:rPr>
            </w:pPr>
            <w:r>
              <w:rPr>
                <w:rFonts w:hint="eastAsia" w:ascii="宋体" w:hAnsi="宋体" w:cs="宋体"/>
                <w:color w:val="000000"/>
                <w:kern w:val="0"/>
                <w:sz w:val="24"/>
              </w:rPr>
              <w:t>序号</w:t>
            </w:r>
          </w:p>
        </w:tc>
        <w:tc>
          <w:tcPr>
            <w:tcW w:w="34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348FE8E">
            <w:pPr>
              <w:widowControl/>
              <w:snapToGrid w:val="0"/>
              <w:spacing w:line="360" w:lineRule="auto"/>
              <w:jc w:val="center"/>
              <w:rPr>
                <w:rFonts w:hint="eastAsia" w:ascii="宋体" w:hAnsi="宋体" w:cs="宋体"/>
                <w:color w:val="000000"/>
                <w:kern w:val="0"/>
                <w:sz w:val="24"/>
              </w:rPr>
            </w:pPr>
            <w:r>
              <w:rPr>
                <w:rFonts w:hint="eastAsia" w:ascii="宋体" w:hAnsi="宋体" w:cs="宋体"/>
                <w:color w:val="000000"/>
                <w:kern w:val="0"/>
                <w:sz w:val="24"/>
              </w:rPr>
              <w:t>招标文件章节及条款号</w:t>
            </w:r>
          </w:p>
        </w:tc>
        <w:tc>
          <w:tcPr>
            <w:tcW w:w="27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25A7C55">
            <w:pPr>
              <w:widowControl/>
              <w:snapToGrid w:val="0"/>
              <w:spacing w:line="360" w:lineRule="auto"/>
              <w:jc w:val="center"/>
              <w:rPr>
                <w:rFonts w:hint="eastAsia" w:ascii="宋体" w:hAnsi="宋体" w:cs="宋体"/>
                <w:color w:val="000000"/>
                <w:kern w:val="0"/>
                <w:sz w:val="24"/>
              </w:rPr>
            </w:pPr>
            <w:r>
              <w:rPr>
                <w:rFonts w:hint="eastAsia" w:ascii="宋体" w:hAnsi="宋体" w:cs="宋体"/>
                <w:color w:val="000000"/>
                <w:kern w:val="0"/>
                <w:sz w:val="24"/>
              </w:rPr>
              <w:t>投标文件章节及条款号</w:t>
            </w:r>
          </w:p>
        </w:tc>
        <w:tc>
          <w:tcPr>
            <w:tcW w:w="16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4608E30">
            <w:pPr>
              <w:widowControl/>
              <w:snapToGrid w:val="0"/>
              <w:spacing w:line="360" w:lineRule="auto"/>
              <w:jc w:val="center"/>
              <w:rPr>
                <w:rFonts w:hint="eastAsia" w:ascii="宋体" w:hAnsi="宋体" w:cs="宋体"/>
                <w:color w:val="000000"/>
                <w:kern w:val="0"/>
                <w:sz w:val="24"/>
              </w:rPr>
            </w:pPr>
            <w:r>
              <w:rPr>
                <w:rFonts w:hint="eastAsia" w:ascii="宋体" w:hAnsi="宋体" w:cs="宋体"/>
                <w:color w:val="000000"/>
                <w:kern w:val="0"/>
                <w:sz w:val="24"/>
              </w:rPr>
              <w:t>偏差说明</w:t>
            </w:r>
          </w:p>
        </w:tc>
      </w:tr>
      <w:tr w14:paraId="5ADAC1E4">
        <w:tblPrEx>
          <w:tblCellMar>
            <w:top w:w="0" w:type="dxa"/>
            <w:left w:w="0" w:type="dxa"/>
            <w:bottom w:w="0" w:type="dxa"/>
            <w:right w:w="0" w:type="dxa"/>
          </w:tblCellMar>
        </w:tblPrEx>
        <w:trPr>
          <w:trHeight w:val="396" w:hRule="atLeast"/>
        </w:trPr>
        <w:tc>
          <w:tcPr>
            <w:tcW w:w="10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5C0D14D">
            <w:pPr>
              <w:widowControl/>
              <w:snapToGrid w:val="0"/>
              <w:spacing w:line="360" w:lineRule="auto"/>
              <w:jc w:val="center"/>
              <w:rPr>
                <w:rFonts w:hint="eastAsia" w:ascii="宋体" w:hAnsi="宋体" w:cs="宋体"/>
                <w:color w:val="000000"/>
                <w:kern w:val="0"/>
                <w:sz w:val="24"/>
              </w:rPr>
            </w:pPr>
          </w:p>
        </w:tc>
        <w:tc>
          <w:tcPr>
            <w:tcW w:w="34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12A51A3">
            <w:pPr>
              <w:widowControl/>
              <w:snapToGrid w:val="0"/>
              <w:spacing w:line="360" w:lineRule="auto"/>
              <w:jc w:val="center"/>
              <w:rPr>
                <w:rFonts w:hint="eastAsia" w:ascii="宋体" w:hAnsi="宋体" w:cs="宋体"/>
                <w:color w:val="000000"/>
                <w:kern w:val="0"/>
                <w:sz w:val="24"/>
              </w:rPr>
            </w:pPr>
          </w:p>
        </w:tc>
        <w:tc>
          <w:tcPr>
            <w:tcW w:w="27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F8AABD0">
            <w:pPr>
              <w:widowControl/>
              <w:snapToGrid w:val="0"/>
              <w:spacing w:line="360" w:lineRule="auto"/>
              <w:jc w:val="center"/>
              <w:rPr>
                <w:rFonts w:hint="eastAsia" w:ascii="宋体" w:hAnsi="宋体" w:cs="宋体"/>
                <w:color w:val="000000"/>
                <w:kern w:val="0"/>
                <w:sz w:val="24"/>
              </w:rPr>
            </w:pPr>
          </w:p>
        </w:tc>
        <w:tc>
          <w:tcPr>
            <w:tcW w:w="16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5EE1CFC">
            <w:pPr>
              <w:widowControl/>
              <w:snapToGrid w:val="0"/>
              <w:spacing w:line="360" w:lineRule="auto"/>
              <w:jc w:val="center"/>
              <w:rPr>
                <w:rFonts w:hint="eastAsia" w:ascii="宋体" w:hAnsi="宋体" w:cs="宋体"/>
                <w:color w:val="000000"/>
                <w:kern w:val="0"/>
                <w:sz w:val="24"/>
              </w:rPr>
            </w:pPr>
          </w:p>
        </w:tc>
      </w:tr>
      <w:tr w14:paraId="6224F703">
        <w:tblPrEx>
          <w:tblCellMar>
            <w:top w:w="0" w:type="dxa"/>
            <w:left w:w="0" w:type="dxa"/>
            <w:bottom w:w="0" w:type="dxa"/>
            <w:right w:w="0" w:type="dxa"/>
          </w:tblCellMar>
        </w:tblPrEx>
        <w:trPr>
          <w:trHeight w:val="396" w:hRule="atLeast"/>
        </w:trPr>
        <w:tc>
          <w:tcPr>
            <w:tcW w:w="10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54D3992">
            <w:pPr>
              <w:widowControl/>
              <w:snapToGrid w:val="0"/>
              <w:spacing w:line="360" w:lineRule="auto"/>
              <w:jc w:val="center"/>
              <w:rPr>
                <w:rFonts w:hint="eastAsia" w:ascii="宋体" w:hAnsi="宋体" w:cs="宋体"/>
                <w:color w:val="000000"/>
                <w:kern w:val="0"/>
                <w:sz w:val="24"/>
              </w:rPr>
            </w:pPr>
          </w:p>
        </w:tc>
        <w:tc>
          <w:tcPr>
            <w:tcW w:w="34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EA6658A">
            <w:pPr>
              <w:widowControl/>
              <w:snapToGrid w:val="0"/>
              <w:spacing w:line="360" w:lineRule="auto"/>
              <w:jc w:val="center"/>
              <w:rPr>
                <w:rFonts w:hint="eastAsia" w:ascii="宋体" w:hAnsi="宋体" w:cs="宋体"/>
                <w:color w:val="000000"/>
                <w:kern w:val="0"/>
                <w:sz w:val="24"/>
              </w:rPr>
            </w:pPr>
          </w:p>
        </w:tc>
        <w:tc>
          <w:tcPr>
            <w:tcW w:w="27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0922E41">
            <w:pPr>
              <w:widowControl/>
              <w:snapToGrid w:val="0"/>
              <w:spacing w:line="360" w:lineRule="auto"/>
              <w:jc w:val="center"/>
              <w:rPr>
                <w:rFonts w:hint="eastAsia" w:ascii="宋体" w:hAnsi="宋体" w:cs="宋体"/>
                <w:color w:val="000000"/>
                <w:kern w:val="0"/>
                <w:sz w:val="24"/>
              </w:rPr>
            </w:pPr>
          </w:p>
        </w:tc>
        <w:tc>
          <w:tcPr>
            <w:tcW w:w="16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3056C9F">
            <w:pPr>
              <w:widowControl/>
              <w:snapToGrid w:val="0"/>
              <w:spacing w:line="360" w:lineRule="auto"/>
              <w:jc w:val="center"/>
              <w:rPr>
                <w:rFonts w:hint="eastAsia" w:ascii="宋体" w:hAnsi="宋体" w:cs="宋体"/>
                <w:color w:val="000000"/>
                <w:kern w:val="0"/>
                <w:sz w:val="24"/>
              </w:rPr>
            </w:pPr>
          </w:p>
        </w:tc>
      </w:tr>
      <w:tr w14:paraId="554218D4">
        <w:tblPrEx>
          <w:tblCellMar>
            <w:top w:w="0" w:type="dxa"/>
            <w:left w:w="0" w:type="dxa"/>
            <w:bottom w:w="0" w:type="dxa"/>
            <w:right w:w="0" w:type="dxa"/>
          </w:tblCellMar>
        </w:tblPrEx>
        <w:trPr>
          <w:trHeight w:val="396" w:hRule="atLeast"/>
        </w:trPr>
        <w:tc>
          <w:tcPr>
            <w:tcW w:w="10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F251378">
            <w:pPr>
              <w:widowControl/>
              <w:snapToGrid w:val="0"/>
              <w:spacing w:line="360" w:lineRule="auto"/>
              <w:jc w:val="center"/>
              <w:rPr>
                <w:rFonts w:hint="eastAsia" w:ascii="宋体" w:hAnsi="宋体" w:cs="宋体"/>
                <w:color w:val="000000"/>
                <w:kern w:val="0"/>
                <w:sz w:val="24"/>
              </w:rPr>
            </w:pPr>
          </w:p>
        </w:tc>
        <w:tc>
          <w:tcPr>
            <w:tcW w:w="34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C68B338">
            <w:pPr>
              <w:widowControl/>
              <w:snapToGrid w:val="0"/>
              <w:spacing w:line="360" w:lineRule="auto"/>
              <w:jc w:val="center"/>
              <w:rPr>
                <w:rFonts w:hint="eastAsia" w:ascii="宋体" w:hAnsi="宋体" w:cs="宋体"/>
                <w:color w:val="000000"/>
                <w:kern w:val="0"/>
                <w:sz w:val="24"/>
              </w:rPr>
            </w:pPr>
          </w:p>
        </w:tc>
        <w:tc>
          <w:tcPr>
            <w:tcW w:w="27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7B02FE8">
            <w:pPr>
              <w:widowControl/>
              <w:snapToGrid w:val="0"/>
              <w:spacing w:line="360" w:lineRule="auto"/>
              <w:jc w:val="center"/>
              <w:rPr>
                <w:rFonts w:hint="eastAsia" w:ascii="宋体" w:hAnsi="宋体" w:cs="宋体"/>
                <w:color w:val="000000"/>
                <w:kern w:val="0"/>
                <w:sz w:val="24"/>
              </w:rPr>
            </w:pPr>
          </w:p>
        </w:tc>
        <w:tc>
          <w:tcPr>
            <w:tcW w:w="16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D2A927A">
            <w:pPr>
              <w:widowControl/>
              <w:snapToGrid w:val="0"/>
              <w:spacing w:line="360" w:lineRule="auto"/>
              <w:jc w:val="center"/>
              <w:rPr>
                <w:rFonts w:hint="eastAsia" w:ascii="宋体" w:hAnsi="宋体" w:cs="宋体"/>
                <w:color w:val="000000"/>
                <w:kern w:val="0"/>
                <w:sz w:val="24"/>
              </w:rPr>
            </w:pPr>
          </w:p>
        </w:tc>
      </w:tr>
      <w:tr w14:paraId="59DB8519">
        <w:tblPrEx>
          <w:tblCellMar>
            <w:top w:w="0" w:type="dxa"/>
            <w:left w:w="0" w:type="dxa"/>
            <w:bottom w:w="0" w:type="dxa"/>
            <w:right w:w="0" w:type="dxa"/>
          </w:tblCellMar>
        </w:tblPrEx>
        <w:trPr>
          <w:trHeight w:val="396" w:hRule="atLeast"/>
        </w:trPr>
        <w:tc>
          <w:tcPr>
            <w:tcW w:w="10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3BF53EE">
            <w:pPr>
              <w:widowControl/>
              <w:snapToGrid w:val="0"/>
              <w:spacing w:line="360" w:lineRule="auto"/>
              <w:jc w:val="center"/>
              <w:rPr>
                <w:rFonts w:hint="eastAsia" w:ascii="宋体" w:hAnsi="宋体" w:cs="宋体"/>
                <w:color w:val="000000"/>
                <w:kern w:val="0"/>
                <w:sz w:val="24"/>
              </w:rPr>
            </w:pPr>
          </w:p>
        </w:tc>
        <w:tc>
          <w:tcPr>
            <w:tcW w:w="34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E03C646">
            <w:pPr>
              <w:widowControl/>
              <w:snapToGrid w:val="0"/>
              <w:spacing w:line="360" w:lineRule="auto"/>
              <w:jc w:val="center"/>
              <w:rPr>
                <w:rFonts w:hint="eastAsia" w:ascii="宋体" w:hAnsi="宋体" w:cs="宋体"/>
                <w:color w:val="000000"/>
                <w:kern w:val="0"/>
                <w:sz w:val="24"/>
              </w:rPr>
            </w:pPr>
          </w:p>
        </w:tc>
        <w:tc>
          <w:tcPr>
            <w:tcW w:w="27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1DA4C17">
            <w:pPr>
              <w:widowControl/>
              <w:snapToGrid w:val="0"/>
              <w:spacing w:line="360" w:lineRule="auto"/>
              <w:jc w:val="center"/>
              <w:rPr>
                <w:rFonts w:hint="eastAsia" w:ascii="宋体" w:hAnsi="宋体" w:cs="宋体"/>
                <w:color w:val="000000"/>
                <w:kern w:val="0"/>
                <w:sz w:val="24"/>
              </w:rPr>
            </w:pPr>
          </w:p>
        </w:tc>
        <w:tc>
          <w:tcPr>
            <w:tcW w:w="16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EA5CDF9">
            <w:pPr>
              <w:widowControl/>
              <w:snapToGrid w:val="0"/>
              <w:spacing w:line="360" w:lineRule="auto"/>
              <w:jc w:val="center"/>
              <w:rPr>
                <w:rFonts w:hint="eastAsia" w:ascii="宋体" w:hAnsi="宋体" w:cs="宋体"/>
                <w:color w:val="000000"/>
                <w:kern w:val="0"/>
                <w:sz w:val="24"/>
              </w:rPr>
            </w:pPr>
          </w:p>
        </w:tc>
      </w:tr>
      <w:tr w14:paraId="2A4A9F12">
        <w:tblPrEx>
          <w:tblCellMar>
            <w:top w:w="0" w:type="dxa"/>
            <w:left w:w="0" w:type="dxa"/>
            <w:bottom w:w="0" w:type="dxa"/>
            <w:right w:w="0" w:type="dxa"/>
          </w:tblCellMar>
        </w:tblPrEx>
        <w:trPr>
          <w:trHeight w:val="396" w:hRule="atLeast"/>
        </w:trPr>
        <w:tc>
          <w:tcPr>
            <w:tcW w:w="10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8E0066">
            <w:pPr>
              <w:widowControl/>
              <w:snapToGrid w:val="0"/>
              <w:spacing w:line="360" w:lineRule="auto"/>
              <w:jc w:val="center"/>
              <w:rPr>
                <w:rFonts w:hint="eastAsia" w:ascii="宋体" w:hAnsi="宋体" w:cs="宋体"/>
                <w:color w:val="000000"/>
                <w:kern w:val="0"/>
                <w:sz w:val="24"/>
              </w:rPr>
            </w:pPr>
          </w:p>
        </w:tc>
        <w:tc>
          <w:tcPr>
            <w:tcW w:w="34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3B22D9C">
            <w:pPr>
              <w:widowControl/>
              <w:snapToGrid w:val="0"/>
              <w:spacing w:line="360" w:lineRule="auto"/>
              <w:jc w:val="center"/>
              <w:rPr>
                <w:rFonts w:hint="eastAsia" w:ascii="宋体" w:hAnsi="宋体" w:cs="宋体"/>
                <w:color w:val="000000"/>
                <w:kern w:val="0"/>
                <w:sz w:val="24"/>
              </w:rPr>
            </w:pPr>
          </w:p>
        </w:tc>
        <w:tc>
          <w:tcPr>
            <w:tcW w:w="27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58C8A5F">
            <w:pPr>
              <w:widowControl/>
              <w:snapToGrid w:val="0"/>
              <w:spacing w:line="360" w:lineRule="auto"/>
              <w:jc w:val="center"/>
              <w:rPr>
                <w:rFonts w:hint="eastAsia" w:ascii="宋体" w:hAnsi="宋体" w:cs="宋体"/>
                <w:color w:val="000000"/>
                <w:kern w:val="0"/>
                <w:sz w:val="24"/>
              </w:rPr>
            </w:pPr>
          </w:p>
        </w:tc>
        <w:tc>
          <w:tcPr>
            <w:tcW w:w="16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BA52A0B">
            <w:pPr>
              <w:widowControl/>
              <w:snapToGrid w:val="0"/>
              <w:spacing w:line="360" w:lineRule="auto"/>
              <w:jc w:val="center"/>
              <w:rPr>
                <w:rFonts w:hint="eastAsia" w:ascii="宋体" w:hAnsi="宋体" w:cs="宋体"/>
                <w:color w:val="000000"/>
                <w:kern w:val="0"/>
                <w:sz w:val="24"/>
              </w:rPr>
            </w:pPr>
          </w:p>
        </w:tc>
      </w:tr>
    </w:tbl>
    <w:p w14:paraId="0BC53C6D">
      <w:pPr>
        <w:widowControl/>
        <w:snapToGrid w:val="0"/>
        <w:spacing w:line="360" w:lineRule="auto"/>
        <w:jc w:val="left"/>
        <w:rPr>
          <w:rFonts w:hint="eastAsia" w:ascii="宋体" w:hAnsi="宋体" w:cs="宋体"/>
          <w:color w:val="000000"/>
          <w:kern w:val="0"/>
          <w:sz w:val="24"/>
        </w:rPr>
      </w:pPr>
    </w:p>
    <w:p w14:paraId="28ABCEA2">
      <w:pPr>
        <w:shd w:val="solid" w:color="FFFFFF" w:fill="auto"/>
        <w:autoSpaceDN w:val="0"/>
        <w:spacing w:line="360" w:lineRule="auto"/>
        <w:jc w:val="left"/>
        <w:rPr>
          <w:rFonts w:hint="eastAsia" w:ascii="宋体" w:hAnsi="宋体" w:cs="宋体"/>
          <w:sz w:val="24"/>
          <w:shd w:val="clear" w:color="auto" w:fill="FFFFFF"/>
        </w:rPr>
      </w:pPr>
      <w:r>
        <w:rPr>
          <w:rFonts w:hint="eastAsia" w:ascii="宋体" w:hAnsi="宋体" w:cs="宋体"/>
          <w:sz w:val="24"/>
        </w:rPr>
        <w:t>投标人：</w:t>
      </w:r>
      <w:r>
        <w:rPr>
          <w:rFonts w:hint="eastAsia" w:ascii="宋体" w:hAnsi="宋体" w:cs="宋体"/>
          <w:sz w:val="24"/>
          <w:u w:val="single"/>
        </w:rPr>
        <w:t xml:space="preserve">      （投标人全称）      </w:t>
      </w:r>
      <w:r>
        <w:rPr>
          <w:rFonts w:hint="eastAsia" w:ascii="宋体" w:hAnsi="宋体" w:cs="宋体"/>
          <w:sz w:val="24"/>
        </w:rPr>
        <w:t>（电子签章）</w:t>
      </w:r>
    </w:p>
    <w:p w14:paraId="6222D6B2">
      <w:pPr>
        <w:shd w:val="solid" w:color="FFFFFF" w:fill="auto"/>
        <w:autoSpaceDN w:val="0"/>
        <w:spacing w:line="360" w:lineRule="auto"/>
        <w:jc w:val="left"/>
        <w:rPr>
          <w:rFonts w:hint="eastAsia" w:ascii="宋体" w:hAnsi="宋体" w:cs="宋体"/>
          <w:sz w:val="24"/>
          <w:shd w:val="clear" w:color="auto" w:fill="FFFFFF"/>
        </w:rPr>
      </w:pPr>
      <w:r>
        <w:rPr>
          <w:rFonts w:hint="eastAsia" w:ascii="宋体" w:hAnsi="宋体" w:cs="宋体"/>
          <w:sz w:val="24"/>
          <w:shd w:val="clear" w:color="auto" w:fill="FFFFFF"/>
        </w:rPr>
        <w:t>法定代表人或其委托代理人：</w:t>
      </w:r>
      <w:r>
        <w:rPr>
          <w:rFonts w:hint="eastAsia" w:ascii="宋体" w:hAnsi="宋体" w:cs="宋体"/>
          <w:sz w:val="24"/>
          <w:u w:val="single"/>
          <w:shd w:val="clear" w:color="auto" w:fill="FFFFFF"/>
        </w:rPr>
        <w:t xml:space="preserve">　               </w:t>
      </w:r>
      <w:r>
        <w:rPr>
          <w:rFonts w:hint="eastAsia" w:ascii="宋体" w:hAnsi="宋体" w:cs="宋体"/>
          <w:sz w:val="24"/>
          <w:shd w:val="clear" w:color="auto" w:fill="FFFFFF"/>
        </w:rPr>
        <w:t>（电子签章或电子签名）</w:t>
      </w:r>
    </w:p>
    <w:p w14:paraId="6D934D31">
      <w:pPr>
        <w:shd w:val="solid" w:color="FFFFFF" w:fill="auto"/>
        <w:autoSpaceDN w:val="0"/>
        <w:spacing w:line="360" w:lineRule="auto"/>
        <w:jc w:val="left"/>
        <w:rPr>
          <w:rFonts w:hint="eastAsia" w:ascii="宋体" w:hAnsi="宋体" w:cs="宋体"/>
          <w:kern w:val="1"/>
          <w:sz w:val="24"/>
        </w:rPr>
      </w:pPr>
      <w:r>
        <w:rPr>
          <w:rFonts w:hint="eastAsia" w:ascii="宋体" w:hAnsi="宋体" w:cs="宋体"/>
          <w:sz w:val="24"/>
        </w:rPr>
        <w:t>日期：</w:t>
      </w:r>
      <w:r>
        <w:rPr>
          <w:rFonts w:hint="eastAsia" w:ascii="宋体" w:hAnsi="宋体" w:cs="宋体"/>
          <w:sz w:val="24"/>
          <w:u w:val="single"/>
          <w:shd w:val="clear" w:color="auto" w:fill="FFFFFF"/>
        </w:rPr>
        <w:t xml:space="preserve">　    </w:t>
      </w:r>
      <w:r>
        <w:rPr>
          <w:rFonts w:hint="eastAsia" w:ascii="宋体" w:hAnsi="宋体" w:cs="宋体"/>
          <w:sz w:val="24"/>
        </w:rPr>
        <w:t>年</w:t>
      </w:r>
      <w:r>
        <w:rPr>
          <w:rFonts w:hint="eastAsia" w:ascii="宋体" w:hAnsi="宋体" w:cs="宋体"/>
          <w:sz w:val="24"/>
          <w:u w:val="single"/>
          <w:shd w:val="clear" w:color="auto" w:fill="FFFFFF"/>
        </w:rPr>
        <w:t xml:space="preserve">　    </w:t>
      </w:r>
      <w:r>
        <w:rPr>
          <w:rFonts w:hint="eastAsia" w:ascii="宋体" w:hAnsi="宋体" w:cs="宋体"/>
          <w:sz w:val="24"/>
        </w:rPr>
        <w:t>月</w:t>
      </w:r>
      <w:r>
        <w:rPr>
          <w:rFonts w:hint="eastAsia" w:ascii="宋体" w:hAnsi="宋体" w:cs="宋体"/>
          <w:sz w:val="24"/>
          <w:u w:val="single"/>
          <w:shd w:val="clear" w:color="auto" w:fill="FFFFFF"/>
        </w:rPr>
        <w:t xml:space="preserve">　    </w:t>
      </w:r>
      <w:r>
        <w:rPr>
          <w:rFonts w:hint="eastAsia" w:ascii="宋体" w:hAnsi="宋体" w:cs="宋体"/>
          <w:sz w:val="24"/>
        </w:rPr>
        <w:t>日</w:t>
      </w:r>
    </w:p>
    <w:p w14:paraId="47054B89">
      <w:pPr>
        <w:widowControl/>
        <w:snapToGrid w:val="0"/>
        <w:spacing w:line="360" w:lineRule="auto"/>
        <w:jc w:val="left"/>
        <w:rPr>
          <w:rFonts w:hint="eastAsia" w:ascii="宋体" w:hAnsi="宋体" w:cs="宋体"/>
          <w:b/>
          <w:color w:val="000000"/>
          <w:kern w:val="0"/>
          <w:sz w:val="24"/>
        </w:rPr>
      </w:pPr>
    </w:p>
    <w:p w14:paraId="312F8EA1">
      <w:pPr>
        <w:widowControl/>
        <w:snapToGrid w:val="0"/>
        <w:spacing w:line="360" w:lineRule="auto"/>
        <w:jc w:val="left"/>
        <w:rPr>
          <w:rFonts w:hint="eastAsia" w:ascii="宋体" w:hAnsi="宋体" w:cs="宋体"/>
          <w:b/>
          <w:color w:val="000000"/>
          <w:kern w:val="0"/>
          <w:sz w:val="24"/>
        </w:rPr>
      </w:pPr>
      <w:r>
        <w:rPr>
          <w:rFonts w:hint="eastAsia" w:ascii="宋体" w:hAnsi="宋体" w:cs="宋体"/>
          <w:b/>
          <w:color w:val="000000"/>
          <w:kern w:val="0"/>
          <w:sz w:val="24"/>
        </w:rPr>
        <w:t>表格填写说明：</w:t>
      </w:r>
    </w:p>
    <w:p w14:paraId="087F7163">
      <w:pPr>
        <w:widowControl/>
        <w:snapToGrid w:val="0"/>
        <w:spacing w:line="360" w:lineRule="auto"/>
        <w:jc w:val="left"/>
        <w:rPr>
          <w:rFonts w:hint="eastAsia" w:ascii="宋体" w:hAnsi="宋体" w:cs="宋体"/>
          <w:b/>
          <w:color w:val="000000"/>
          <w:kern w:val="0"/>
          <w:sz w:val="24"/>
        </w:rPr>
      </w:pPr>
      <w:r>
        <w:rPr>
          <w:rFonts w:hint="eastAsia" w:ascii="宋体" w:hAnsi="宋体" w:cs="宋体"/>
          <w:b/>
          <w:color w:val="000000"/>
          <w:kern w:val="0"/>
          <w:sz w:val="24"/>
        </w:rPr>
        <w:t>1.投标人应根据实际情况响应，填写本表格，若无偏离，则勾选A项，签字或盖章即可。若有偏离，则勾选B项，按表格要求及实际情况填写后，签字或盖章。</w:t>
      </w:r>
    </w:p>
    <w:p w14:paraId="1C2D8D9A">
      <w:pPr>
        <w:widowControl/>
        <w:snapToGrid w:val="0"/>
        <w:spacing w:line="360" w:lineRule="auto"/>
        <w:jc w:val="left"/>
        <w:rPr>
          <w:rFonts w:hint="eastAsia" w:ascii="宋体" w:hAnsi="宋体" w:cs="宋体"/>
          <w:b/>
          <w:color w:val="000000"/>
          <w:kern w:val="0"/>
          <w:sz w:val="24"/>
        </w:rPr>
      </w:pPr>
      <w:r>
        <w:rPr>
          <w:rFonts w:hint="eastAsia" w:ascii="宋体" w:hAnsi="宋体" w:cs="宋体"/>
          <w:b/>
          <w:color w:val="000000"/>
          <w:kern w:val="0"/>
          <w:sz w:val="24"/>
        </w:rPr>
        <w:t>2.表格中“招标文件章节及条款号”在填写时应注明该条款在招标文件的章节及条款号。</w:t>
      </w:r>
    </w:p>
    <w:p w14:paraId="1A9E0DFC">
      <w:pPr>
        <w:widowControl/>
        <w:snapToGrid w:val="0"/>
        <w:spacing w:line="360" w:lineRule="auto"/>
        <w:jc w:val="left"/>
        <w:rPr>
          <w:rFonts w:hint="eastAsia" w:ascii="宋体" w:hAnsi="宋体" w:cs="宋体"/>
          <w:b/>
          <w:color w:val="000000"/>
          <w:kern w:val="0"/>
          <w:sz w:val="24"/>
        </w:rPr>
      </w:pPr>
      <w:r>
        <w:rPr>
          <w:rFonts w:hint="eastAsia" w:ascii="宋体" w:hAnsi="宋体" w:cs="宋体"/>
          <w:b/>
          <w:color w:val="000000"/>
          <w:kern w:val="0"/>
          <w:sz w:val="24"/>
        </w:rPr>
        <w:t>3.表格中“投标文件章节及条款号”请投标人根据实际响应情况如实、完整、准确地填写。</w:t>
      </w:r>
    </w:p>
    <w:p w14:paraId="3C8B4980">
      <w:pPr>
        <w:widowControl/>
        <w:snapToGrid w:val="0"/>
        <w:spacing w:line="360" w:lineRule="auto"/>
        <w:jc w:val="left"/>
        <w:rPr>
          <w:rFonts w:hint="eastAsia" w:ascii="宋体" w:hAnsi="宋体" w:cs="宋体"/>
          <w:b/>
          <w:color w:val="000000"/>
          <w:kern w:val="0"/>
          <w:sz w:val="24"/>
        </w:rPr>
      </w:pPr>
      <w:r>
        <w:rPr>
          <w:rFonts w:hint="eastAsia" w:ascii="宋体" w:hAnsi="宋体" w:cs="宋体"/>
          <w:b/>
          <w:color w:val="000000"/>
          <w:kern w:val="0"/>
          <w:sz w:val="24"/>
        </w:rPr>
        <w:t>4.本表格中内容与投标文件其余部分不一致的，以本表格为准。</w:t>
      </w:r>
    </w:p>
    <w:p w14:paraId="468F7BE1">
      <w:pPr>
        <w:spacing w:line="360" w:lineRule="auto"/>
        <w:rPr>
          <w:rFonts w:hint="eastAsia" w:ascii="宋体" w:hAnsi="宋体" w:cs="宋体"/>
          <w:sz w:val="24"/>
          <w:u w:val="single"/>
        </w:rPr>
      </w:pPr>
      <w:r>
        <w:rPr>
          <w:rFonts w:hint="eastAsia" w:ascii="宋体" w:hAnsi="宋体" w:cs="宋体"/>
          <w:sz w:val="24"/>
          <w:u w:val="single"/>
        </w:rPr>
        <w:br w:type="page"/>
      </w:r>
    </w:p>
    <w:p w14:paraId="0990526A">
      <w:pPr>
        <w:shd w:val="solid" w:color="FFFFFF" w:fill="auto"/>
        <w:autoSpaceDN w:val="0"/>
        <w:spacing w:line="360" w:lineRule="auto"/>
        <w:jc w:val="center"/>
        <w:outlineLvl w:val="1"/>
        <w:rPr>
          <w:rFonts w:hint="eastAsia" w:ascii="宋体" w:hAnsi="宋体" w:cs="宋体"/>
          <w:b/>
          <w:bCs/>
          <w:sz w:val="32"/>
          <w:szCs w:val="32"/>
          <w:shd w:val="clear" w:color="auto" w:fill="FFFFFF"/>
        </w:rPr>
      </w:pPr>
      <w:bookmarkStart w:id="207" w:name="_Toc24762"/>
      <w:bookmarkStart w:id="208" w:name="_Toc13531"/>
      <w:r>
        <w:rPr>
          <w:rFonts w:hint="eastAsia" w:ascii="宋体" w:hAnsi="宋体" w:cs="宋体"/>
          <w:b/>
          <w:bCs/>
          <w:sz w:val="32"/>
          <w:szCs w:val="32"/>
          <w:shd w:val="clear" w:color="auto" w:fill="FFFFFF"/>
        </w:rPr>
        <w:t>（二）技术参数响应偏离表</w:t>
      </w:r>
      <w:bookmarkEnd w:id="205"/>
      <w:bookmarkEnd w:id="206"/>
      <w:bookmarkEnd w:id="207"/>
      <w:bookmarkEnd w:id="208"/>
    </w:p>
    <w:p w14:paraId="00B660A9">
      <w:pPr>
        <w:shd w:val="solid" w:color="FFFFFF" w:fill="auto"/>
        <w:autoSpaceDN w:val="0"/>
        <w:spacing w:line="360" w:lineRule="auto"/>
        <w:rPr>
          <w:rFonts w:hint="eastAsia" w:ascii="宋体" w:hAnsi="宋体" w:cs="宋体"/>
          <w:sz w:val="24"/>
          <w:u w:val="single"/>
          <w:shd w:val="clear" w:color="auto" w:fill="FFFFFF"/>
        </w:rPr>
      </w:pPr>
      <w:r>
        <w:rPr>
          <w:rFonts w:hint="eastAsia" w:ascii="宋体" w:hAnsi="宋体" w:cs="宋体"/>
          <w:sz w:val="24"/>
          <w:shd w:val="clear" w:color="auto" w:fill="FFFFFF"/>
        </w:rPr>
        <w:t>项目名称：</w:t>
      </w:r>
      <w:r>
        <w:rPr>
          <w:rFonts w:hint="eastAsia" w:ascii="宋体" w:hAnsi="宋体" w:cs="宋体"/>
          <w:sz w:val="24"/>
          <w:szCs w:val="20"/>
          <w:u w:val="single"/>
          <w:shd w:val="clear" w:color="auto" w:fill="FFFFFF"/>
        </w:rPr>
        <w:t>玉溪市2026年生态环境监测能力提升项目</w:t>
      </w:r>
    </w:p>
    <w:p w14:paraId="6FA6F70D">
      <w:pPr>
        <w:shd w:val="solid" w:color="FFFFFF" w:fill="auto"/>
        <w:autoSpaceDN w:val="0"/>
        <w:spacing w:line="360" w:lineRule="auto"/>
        <w:rPr>
          <w:rFonts w:hint="eastAsia" w:ascii="宋体" w:hAnsi="宋体" w:cs="宋体"/>
          <w:sz w:val="24"/>
          <w:shd w:val="clear" w:color="auto" w:fill="FFFFFF"/>
        </w:rPr>
      </w:pPr>
      <w:r>
        <w:rPr>
          <w:rFonts w:hint="eastAsia" w:ascii="宋体" w:hAnsi="宋体" w:cs="宋体"/>
          <w:sz w:val="24"/>
          <w:shd w:val="clear" w:color="auto" w:fill="FFFFFF"/>
        </w:rPr>
        <w:t>项目编号：</w:t>
      </w:r>
      <w:r>
        <w:rPr>
          <w:rFonts w:hint="eastAsia" w:ascii="宋体" w:hAnsi="宋体" w:cs="宋体"/>
          <w:sz w:val="24"/>
          <w:u w:val="single"/>
          <w:shd w:val="clear" w:color="auto" w:fill="FFFFFF"/>
        </w:rPr>
        <w:t xml:space="preserve">                      </w:t>
      </w:r>
      <w:r>
        <w:rPr>
          <w:rFonts w:hint="eastAsia" w:ascii="宋体" w:hAnsi="宋体" w:cs="宋体"/>
          <w:sz w:val="24"/>
          <w:u w:val="single"/>
        </w:rPr>
        <w:t xml:space="preserve"> </w:t>
      </w:r>
      <w:r>
        <w:rPr>
          <w:rFonts w:hint="eastAsia" w:ascii="宋体" w:hAnsi="宋体" w:cs="宋体"/>
          <w:sz w:val="24"/>
          <w:shd w:val="clear" w:color="auto" w:fill="FFFFFF"/>
        </w:rPr>
        <w:t>　　　</w:t>
      </w:r>
    </w:p>
    <w:tbl>
      <w:tblPr>
        <w:tblStyle w:val="23"/>
        <w:tblW w:w="9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1405"/>
        <w:gridCol w:w="1600"/>
        <w:gridCol w:w="1674"/>
        <w:gridCol w:w="1126"/>
        <w:gridCol w:w="1259"/>
        <w:gridCol w:w="1679"/>
      </w:tblGrid>
      <w:tr w14:paraId="25317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7" w:hRule="atLeast"/>
          <w:jc w:val="center"/>
        </w:trPr>
        <w:tc>
          <w:tcPr>
            <w:tcW w:w="682" w:type="dxa"/>
            <w:vAlign w:val="center"/>
          </w:tcPr>
          <w:p w14:paraId="7360AEBF">
            <w:pPr>
              <w:shd w:val="solid" w:color="FFFFFF" w:fill="auto"/>
              <w:autoSpaceDN w:val="0"/>
              <w:spacing w:line="360" w:lineRule="auto"/>
              <w:jc w:val="center"/>
              <w:rPr>
                <w:rFonts w:hint="eastAsia" w:ascii="宋体" w:hAnsi="宋体" w:cs="宋体"/>
                <w:bCs/>
                <w:sz w:val="22"/>
              </w:rPr>
            </w:pPr>
            <w:r>
              <w:rPr>
                <w:rFonts w:hint="eastAsia" w:ascii="宋体" w:hAnsi="宋体" w:cs="宋体"/>
                <w:bCs/>
                <w:sz w:val="22"/>
              </w:rPr>
              <w:t>序号</w:t>
            </w:r>
          </w:p>
        </w:tc>
        <w:tc>
          <w:tcPr>
            <w:tcW w:w="1405" w:type="dxa"/>
            <w:vAlign w:val="center"/>
          </w:tcPr>
          <w:p w14:paraId="5F1CD8E2">
            <w:pPr>
              <w:shd w:val="solid" w:color="FFFFFF" w:fill="auto"/>
              <w:autoSpaceDN w:val="0"/>
              <w:spacing w:line="360" w:lineRule="auto"/>
              <w:jc w:val="center"/>
              <w:rPr>
                <w:rFonts w:hint="eastAsia" w:ascii="宋体" w:hAnsi="宋体" w:cs="宋体"/>
                <w:bCs/>
                <w:sz w:val="22"/>
              </w:rPr>
            </w:pPr>
            <w:r>
              <w:rPr>
                <w:rFonts w:hint="eastAsia" w:ascii="宋体" w:hAnsi="宋体" w:cs="宋体"/>
                <w:bCs/>
                <w:sz w:val="22"/>
              </w:rPr>
              <w:t>设备（产品）名称</w:t>
            </w:r>
          </w:p>
        </w:tc>
        <w:tc>
          <w:tcPr>
            <w:tcW w:w="1600" w:type="dxa"/>
            <w:vAlign w:val="center"/>
          </w:tcPr>
          <w:p w14:paraId="70B94DE9">
            <w:pPr>
              <w:shd w:val="solid" w:color="FFFFFF" w:fill="auto"/>
              <w:autoSpaceDN w:val="0"/>
              <w:spacing w:line="360" w:lineRule="auto"/>
              <w:jc w:val="center"/>
              <w:rPr>
                <w:rFonts w:hint="eastAsia" w:ascii="宋体" w:hAnsi="宋体" w:cs="宋体"/>
                <w:sz w:val="22"/>
                <w:szCs w:val="22"/>
                <w:shd w:val="clear" w:color="auto" w:fill="FFFFFF"/>
              </w:rPr>
            </w:pPr>
            <w:r>
              <w:rPr>
                <w:rFonts w:hint="eastAsia" w:ascii="宋体" w:hAnsi="宋体" w:cs="宋体"/>
                <w:sz w:val="22"/>
                <w:szCs w:val="22"/>
                <w:shd w:val="clear" w:color="auto" w:fill="FFFFFF"/>
              </w:rPr>
              <w:t>招标文件技术参数要求</w:t>
            </w:r>
          </w:p>
        </w:tc>
        <w:tc>
          <w:tcPr>
            <w:tcW w:w="1674" w:type="dxa"/>
            <w:vAlign w:val="center"/>
          </w:tcPr>
          <w:p w14:paraId="0FEECE7F">
            <w:pPr>
              <w:shd w:val="solid" w:color="FFFFFF" w:fill="auto"/>
              <w:autoSpaceDN w:val="0"/>
              <w:spacing w:line="360" w:lineRule="auto"/>
              <w:jc w:val="center"/>
              <w:rPr>
                <w:rFonts w:hint="eastAsia" w:ascii="宋体" w:hAnsi="宋体" w:cs="宋体"/>
                <w:sz w:val="22"/>
                <w:szCs w:val="22"/>
                <w:shd w:val="clear" w:color="auto" w:fill="FFFFFF"/>
              </w:rPr>
            </w:pPr>
            <w:r>
              <w:rPr>
                <w:rFonts w:hint="eastAsia" w:ascii="宋体" w:hAnsi="宋体" w:cs="宋体"/>
                <w:sz w:val="22"/>
                <w:szCs w:val="22"/>
                <w:shd w:val="clear" w:color="auto" w:fill="FFFFFF"/>
              </w:rPr>
              <w:t>投标文件技术参数响应内容</w:t>
            </w:r>
          </w:p>
        </w:tc>
        <w:tc>
          <w:tcPr>
            <w:tcW w:w="1126" w:type="dxa"/>
            <w:vAlign w:val="center"/>
          </w:tcPr>
          <w:p w14:paraId="57749283">
            <w:pPr>
              <w:shd w:val="solid" w:color="FFFFFF" w:fill="auto"/>
              <w:autoSpaceDN w:val="0"/>
              <w:spacing w:line="360" w:lineRule="auto"/>
              <w:jc w:val="center"/>
              <w:rPr>
                <w:rFonts w:hint="eastAsia" w:ascii="宋体" w:hAnsi="宋体" w:cs="宋体"/>
                <w:sz w:val="22"/>
                <w:szCs w:val="22"/>
                <w:shd w:val="clear" w:color="auto" w:fill="FFFFFF"/>
              </w:rPr>
            </w:pPr>
            <w:r>
              <w:rPr>
                <w:rFonts w:hint="eastAsia" w:ascii="宋体" w:hAnsi="宋体" w:cs="宋体"/>
                <w:sz w:val="22"/>
                <w:szCs w:val="22"/>
                <w:shd w:val="clear" w:color="auto" w:fill="FFFFFF"/>
              </w:rPr>
              <w:t>偏离</w:t>
            </w:r>
          </w:p>
        </w:tc>
        <w:tc>
          <w:tcPr>
            <w:tcW w:w="1259" w:type="dxa"/>
            <w:vAlign w:val="center"/>
          </w:tcPr>
          <w:p w14:paraId="2E258428">
            <w:pPr>
              <w:shd w:val="solid" w:color="FFFFFF" w:fill="auto"/>
              <w:autoSpaceDN w:val="0"/>
              <w:spacing w:line="360" w:lineRule="auto"/>
              <w:jc w:val="center"/>
              <w:rPr>
                <w:rFonts w:hint="eastAsia" w:ascii="宋体" w:hAnsi="宋体" w:cs="宋体"/>
                <w:sz w:val="22"/>
                <w:szCs w:val="22"/>
                <w:shd w:val="clear" w:color="auto" w:fill="FFFFFF"/>
              </w:rPr>
            </w:pPr>
            <w:r>
              <w:rPr>
                <w:rFonts w:hint="eastAsia" w:ascii="宋体" w:hAnsi="宋体" w:cs="宋体"/>
                <w:sz w:val="22"/>
                <w:szCs w:val="22"/>
                <w:shd w:val="clear" w:color="auto" w:fill="FFFFFF"/>
              </w:rPr>
              <w:t>说明</w:t>
            </w:r>
          </w:p>
        </w:tc>
        <w:tc>
          <w:tcPr>
            <w:tcW w:w="1679" w:type="dxa"/>
            <w:vAlign w:val="center"/>
          </w:tcPr>
          <w:p w14:paraId="704BC0D4">
            <w:pPr>
              <w:shd w:val="solid" w:color="FFFFFF" w:fill="auto"/>
              <w:autoSpaceDN w:val="0"/>
              <w:spacing w:line="360" w:lineRule="auto"/>
              <w:jc w:val="center"/>
              <w:rPr>
                <w:rFonts w:hint="eastAsia" w:ascii="宋体" w:hAnsi="宋体" w:cs="宋体"/>
                <w:sz w:val="22"/>
                <w:szCs w:val="22"/>
                <w:shd w:val="clear" w:color="auto" w:fill="FFFFFF"/>
              </w:rPr>
            </w:pPr>
            <w:r>
              <w:rPr>
                <w:rFonts w:hint="eastAsia" w:ascii="宋体" w:hAnsi="宋体" w:cs="宋体"/>
                <w:sz w:val="22"/>
                <w:szCs w:val="22"/>
                <w:shd w:val="clear" w:color="auto" w:fill="FFFFFF"/>
              </w:rPr>
              <w:t>技术支持资料索引（页码及条目号等）</w:t>
            </w:r>
          </w:p>
        </w:tc>
      </w:tr>
      <w:tr w14:paraId="2E43F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682" w:type="dxa"/>
            <w:vAlign w:val="center"/>
          </w:tcPr>
          <w:p w14:paraId="76BF734C">
            <w:pPr>
              <w:shd w:val="solid" w:color="FFFFFF" w:fill="auto"/>
              <w:autoSpaceDN w:val="0"/>
              <w:spacing w:line="360" w:lineRule="auto"/>
              <w:jc w:val="center"/>
              <w:rPr>
                <w:rFonts w:hint="eastAsia" w:ascii="宋体" w:hAnsi="宋体" w:cs="宋体"/>
                <w:bCs/>
                <w:sz w:val="22"/>
              </w:rPr>
            </w:pPr>
            <w:r>
              <w:rPr>
                <w:rFonts w:hint="eastAsia" w:ascii="宋体" w:hAnsi="宋体" w:cs="宋体"/>
                <w:bCs/>
                <w:sz w:val="22"/>
              </w:rPr>
              <w:t>1</w:t>
            </w:r>
          </w:p>
        </w:tc>
        <w:tc>
          <w:tcPr>
            <w:tcW w:w="1405" w:type="dxa"/>
            <w:vAlign w:val="center"/>
          </w:tcPr>
          <w:p w14:paraId="29B7323B">
            <w:pPr>
              <w:shd w:val="solid" w:color="FFFFFF" w:fill="auto"/>
              <w:autoSpaceDN w:val="0"/>
              <w:spacing w:line="360" w:lineRule="auto"/>
              <w:jc w:val="center"/>
              <w:rPr>
                <w:rFonts w:hint="eastAsia" w:ascii="宋体" w:hAnsi="宋体" w:cs="宋体"/>
                <w:bCs/>
                <w:sz w:val="22"/>
              </w:rPr>
            </w:pPr>
          </w:p>
        </w:tc>
        <w:tc>
          <w:tcPr>
            <w:tcW w:w="1600" w:type="dxa"/>
            <w:vAlign w:val="center"/>
          </w:tcPr>
          <w:p w14:paraId="740ED294">
            <w:pPr>
              <w:shd w:val="solid" w:color="FFFFFF" w:fill="auto"/>
              <w:autoSpaceDN w:val="0"/>
              <w:spacing w:line="360" w:lineRule="auto"/>
              <w:rPr>
                <w:rFonts w:hint="eastAsia" w:ascii="宋体" w:hAnsi="宋体" w:cs="宋体"/>
                <w:sz w:val="22"/>
                <w:szCs w:val="22"/>
                <w:shd w:val="clear" w:color="auto" w:fill="FFFFFF"/>
              </w:rPr>
            </w:pPr>
          </w:p>
        </w:tc>
        <w:tc>
          <w:tcPr>
            <w:tcW w:w="1674" w:type="dxa"/>
            <w:vAlign w:val="center"/>
          </w:tcPr>
          <w:p w14:paraId="77B16D1A">
            <w:pPr>
              <w:shd w:val="solid" w:color="FFFFFF" w:fill="auto"/>
              <w:autoSpaceDN w:val="0"/>
              <w:spacing w:line="360" w:lineRule="auto"/>
              <w:rPr>
                <w:rFonts w:hint="eastAsia" w:ascii="宋体" w:hAnsi="宋体" w:cs="宋体"/>
                <w:sz w:val="22"/>
                <w:szCs w:val="22"/>
                <w:shd w:val="clear" w:color="auto" w:fill="FFFFFF"/>
              </w:rPr>
            </w:pPr>
          </w:p>
        </w:tc>
        <w:tc>
          <w:tcPr>
            <w:tcW w:w="1126" w:type="dxa"/>
            <w:vAlign w:val="center"/>
          </w:tcPr>
          <w:p w14:paraId="6CB369AA">
            <w:pPr>
              <w:shd w:val="solid" w:color="FFFFFF" w:fill="auto"/>
              <w:autoSpaceDN w:val="0"/>
              <w:spacing w:line="360" w:lineRule="auto"/>
              <w:rPr>
                <w:rFonts w:hint="eastAsia" w:ascii="宋体" w:hAnsi="宋体" w:cs="宋体"/>
                <w:sz w:val="22"/>
                <w:szCs w:val="22"/>
                <w:shd w:val="clear" w:color="auto" w:fill="FFFFFF"/>
              </w:rPr>
            </w:pPr>
          </w:p>
        </w:tc>
        <w:tc>
          <w:tcPr>
            <w:tcW w:w="1259" w:type="dxa"/>
            <w:vAlign w:val="center"/>
          </w:tcPr>
          <w:p w14:paraId="39E99C43">
            <w:pPr>
              <w:shd w:val="solid" w:color="FFFFFF" w:fill="auto"/>
              <w:autoSpaceDN w:val="0"/>
              <w:spacing w:line="360" w:lineRule="auto"/>
              <w:rPr>
                <w:rFonts w:hint="eastAsia" w:ascii="宋体" w:hAnsi="宋体" w:cs="宋体"/>
                <w:sz w:val="22"/>
                <w:szCs w:val="22"/>
                <w:shd w:val="clear" w:color="auto" w:fill="FFFFFF"/>
              </w:rPr>
            </w:pPr>
          </w:p>
        </w:tc>
        <w:tc>
          <w:tcPr>
            <w:tcW w:w="1679" w:type="dxa"/>
            <w:vAlign w:val="center"/>
          </w:tcPr>
          <w:p w14:paraId="521C99C5">
            <w:pPr>
              <w:shd w:val="solid" w:color="FFFFFF" w:fill="auto"/>
              <w:autoSpaceDN w:val="0"/>
              <w:spacing w:line="360" w:lineRule="auto"/>
              <w:rPr>
                <w:rFonts w:hint="eastAsia" w:ascii="宋体" w:hAnsi="宋体" w:cs="宋体"/>
                <w:sz w:val="22"/>
                <w:szCs w:val="22"/>
                <w:shd w:val="clear" w:color="auto" w:fill="FFFFFF"/>
              </w:rPr>
            </w:pPr>
          </w:p>
        </w:tc>
      </w:tr>
      <w:tr w14:paraId="34AD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682" w:type="dxa"/>
            <w:vAlign w:val="center"/>
          </w:tcPr>
          <w:p w14:paraId="003AA900">
            <w:pPr>
              <w:shd w:val="solid" w:color="FFFFFF" w:fill="auto"/>
              <w:autoSpaceDN w:val="0"/>
              <w:spacing w:line="360" w:lineRule="auto"/>
              <w:jc w:val="center"/>
              <w:rPr>
                <w:rFonts w:hint="eastAsia" w:ascii="宋体" w:hAnsi="宋体" w:cs="宋体"/>
                <w:bCs/>
                <w:sz w:val="22"/>
              </w:rPr>
            </w:pPr>
            <w:r>
              <w:rPr>
                <w:rFonts w:hint="eastAsia" w:ascii="宋体" w:hAnsi="宋体" w:cs="宋体"/>
                <w:bCs/>
                <w:sz w:val="22"/>
              </w:rPr>
              <w:t>2</w:t>
            </w:r>
          </w:p>
        </w:tc>
        <w:tc>
          <w:tcPr>
            <w:tcW w:w="1405" w:type="dxa"/>
            <w:vAlign w:val="center"/>
          </w:tcPr>
          <w:p w14:paraId="65721673">
            <w:pPr>
              <w:shd w:val="solid" w:color="FFFFFF" w:fill="auto"/>
              <w:autoSpaceDN w:val="0"/>
              <w:spacing w:line="360" w:lineRule="auto"/>
              <w:jc w:val="center"/>
              <w:rPr>
                <w:rFonts w:hint="eastAsia" w:ascii="宋体" w:hAnsi="宋体" w:cs="宋体"/>
                <w:bCs/>
                <w:sz w:val="22"/>
              </w:rPr>
            </w:pPr>
          </w:p>
        </w:tc>
        <w:tc>
          <w:tcPr>
            <w:tcW w:w="1600" w:type="dxa"/>
            <w:vAlign w:val="center"/>
          </w:tcPr>
          <w:p w14:paraId="64D4357C">
            <w:pPr>
              <w:shd w:val="solid" w:color="FFFFFF" w:fill="auto"/>
              <w:autoSpaceDN w:val="0"/>
              <w:spacing w:line="360" w:lineRule="auto"/>
              <w:rPr>
                <w:rFonts w:hint="eastAsia" w:ascii="宋体" w:hAnsi="宋体" w:cs="宋体"/>
                <w:sz w:val="22"/>
                <w:szCs w:val="22"/>
                <w:shd w:val="clear" w:color="auto" w:fill="FFFFFF"/>
              </w:rPr>
            </w:pPr>
          </w:p>
        </w:tc>
        <w:tc>
          <w:tcPr>
            <w:tcW w:w="1674" w:type="dxa"/>
            <w:vAlign w:val="center"/>
          </w:tcPr>
          <w:p w14:paraId="3C14BA00">
            <w:pPr>
              <w:shd w:val="solid" w:color="FFFFFF" w:fill="auto"/>
              <w:autoSpaceDN w:val="0"/>
              <w:spacing w:line="360" w:lineRule="auto"/>
              <w:rPr>
                <w:rFonts w:hint="eastAsia" w:ascii="宋体" w:hAnsi="宋体" w:cs="宋体"/>
                <w:sz w:val="22"/>
                <w:szCs w:val="22"/>
                <w:shd w:val="clear" w:color="auto" w:fill="FFFFFF"/>
              </w:rPr>
            </w:pPr>
          </w:p>
        </w:tc>
        <w:tc>
          <w:tcPr>
            <w:tcW w:w="1126" w:type="dxa"/>
            <w:vAlign w:val="center"/>
          </w:tcPr>
          <w:p w14:paraId="023077AF">
            <w:pPr>
              <w:shd w:val="solid" w:color="FFFFFF" w:fill="auto"/>
              <w:autoSpaceDN w:val="0"/>
              <w:spacing w:line="360" w:lineRule="auto"/>
              <w:rPr>
                <w:rFonts w:hint="eastAsia" w:ascii="宋体" w:hAnsi="宋体" w:cs="宋体"/>
                <w:sz w:val="22"/>
                <w:szCs w:val="22"/>
                <w:shd w:val="clear" w:color="auto" w:fill="FFFFFF"/>
              </w:rPr>
            </w:pPr>
          </w:p>
        </w:tc>
        <w:tc>
          <w:tcPr>
            <w:tcW w:w="1259" w:type="dxa"/>
            <w:vAlign w:val="center"/>
          </w:tcPr>
          <w:p w14:paraId="186C1459">
            <w:pPr>
              <w:shd w:val="solid" w:color="FFFFFF" w:fill="auto"/>
              <w:autoSpaceDN w:val="0"/>
              <w:spacing w:line="360" w:lineRule="auto"/>
              <w:rPr>
                <w:rFonts w:hint="eastAsia" w:ascii="宋体" w:hAnsi="宋体" w:cs="宋体"/>
                <w:sz w:val="22"/>
                <w:szCs w:val="22"/>
                <w:shd w:val="clear" w:color="auto" w:fill="FFFFFF"/>
              </w:rPr>
            </w:pPr>
          </w:p>
        </w:tc>
        <w:tc>
          <w:tcPr>
            <w:tcW w:w="1679" w:type="dxa"/>
            <w:vAlign w:val="center"/>
          </w:tcPr>
          <w:p w14:paraId="05554E6A">
            <w:pPr>
              <w:shd w:val="solid" w:color="FFFFFF" w:fill="auto"/>
              <w:autoSpaceDN w:val="0"/>
              <w:spacing w:line="360" w:lineRule="auto"/>
              <w:rPr>
                <w:rFonts w:hint="eastAsia" w:ascii="宋体" w:hAnsi="宋体" w:cs="宋体"/>
                <w:sz w:val="22"/>
                <w:szCs w:val="22"/>
                <w:shd w:val="clear" w:color="auto" w:fill="FFFFFF"/>
              </w:rPr>
            </w:pPr>
          </w:p>
        </w:tc>
      </w:tr>
      <w:tr w14:paraId="28A10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4" w:hRule="atLeast"/>
          <w:jc w:val="center"/>
        </w:trPr>
        <w:tc>
          <w:tcPr>
            <w:tcW w:w="682" w:type="dxa"/>
            <w:vAlign w:val="center"/>
          </w:tcPr>
          <w:p w14:paraId="0E573ED4">
            <w:pPr>
              <w:shd w:val="solid" w:color="FFFFFF" w:fill="auto"/>
              <w:autoSpaceDN w:val="0"/>
              <w:spacing w:line="360" w:lineRule="auto"/>
              <w:jc w:val="center"/>
              <w:rPr>
                <w:rFonts w:hint="eastAsia" w:ascii="宋体" w:hAnsi="宋体" w:cs="宋体"/>
                <w:sz w:val="22"/>
                <w:szCs w:val="22"/>
                <w:shd w:val="clear" w:color="auto" w:fill="FFFFFF"/>
              </w:rPr>
            </w:pPr>
            <w:r>
              <w:rPr>
                <w:rFonts w:hint="eastAsia" w:ascii="宋体" w:hAnsi="宋体" w:cs="宋体"/>
                <w:sz w:val="22"/>
                <w:szCs w:val="22"/>
                <w:shd w:val="clear" w:color="auto" w:fill="FFFFFF"/>
              </w:rPr>
              <w:t>…</w:t>
            </w:r>
          </w:p>
        </w:tc>
        <w:tc>
          <w:tcPr>
            <w:tcW w:w="1405" w:type="dxa"/>
            <w:vAlign w:val="center"/>
          </w:tcPr>
          <w:p w14:paraId="4411F6B3">
            <w:pPr>
              <w:shd w:val="solid" w:color="FFFFFF" w:fill="auto"/>
              <w:autoSpaceDN w:val="0"/>
              <w:spacing w:line="360" w:lineRule="auto"/>
              <w:rPr>
                <w:rFonts w:hint="eastAsia" w:ascii="宋体" w:hAnsi="宋体" w:cs="宋体"/>
                <w:sz w:val="22"/>
                <w:szCs w:val="22"/>
                <w:shd w:val="clear" w:color="auto" w:fill="FFFFFF"/>
              </w:rPr>
            </w:pPr>
          </w:p>
        </w:tc>
        <w:tc>
          <w:tcPr>
            <w:tcW w:w="1600" w:type="dxa"/>
            <w:vAlign w:val="center"/>
          </w:tcPr>
          <w:p w14:paraId="003206E6">
            <w:pPr>
              <w:shd w:val="solid" w:color="FFFFFF" w:fill="auto"/>
              <w:autoSpaceDN w:val="0"/>
              <w:spacing w:line="360" w:lineRule="auto"/>
              <w:rPr>
                <w:rFonts w:hint="eastAsia" w:ascii="宋体" w:hAnsi="宋体" w:cs="宋体"/>
                <w:sz w:val="22"/>
                <w:szCs w:val="22"/>
                <w:shd w:val="clear" w:color="auto" w:fill="FFFFFF"/>
              </w:rPr>
            </w:pPr>
          </w:p>
        </w:tc>
        <w:tc>
          <w:tcPr>
            <w:tcW w:w="1674" w:type="dxa"/>
            <w:vAlign w:val="center"/>
          </w:tcPr>
          <w:p w14:paraId="1A3F5F2D">
            <w:pPr>
              <w:shd w:val="solid" w:color="FFFFFF" w:fill="auto"/>
              <w:autoSpaceDN w:val="0"/>
              <w:spacing w:line="360" w:lineRule="auto"/>
              <w:rPr>
                <w:rFonts w:hint="eastAsia" w:ascii="宋体" w:hAnsi="宋体" w:cs="宋体"/>
                <w:sz w:val="22"/>
                <w:szCs w:val="22"/>
                <w:shd w:val="clear" w:color="auto" w:fill="FFFFFF"/>
              </w:rPr>
            </w:pPr>
          </w:p>
        </w:tc>
        <w:tc>
          <w:tcPr>
            <w:tcW w:w="1126" w:type="dxa"/>
            <w:vAlign w:val="center"/>
          </w:tcPr>
          <w:p w14:paraId="0C330EFA">
            <w:pPr>
              <w:shd w:val="solid" w:color="FFFFFF" w:fill="auto"/>
              <w:autoSpaceDN w:val="0"/>
              <w:spacing w:line="360" w:lineRule="auto"/>
              <w:rPr>
                <w:rFonts w:hint="eastAsia" w:ascii="宋体" w:hAnsi="宋体" w:cs="宋体"/>
                <w:sz w:val="22"/>
                <w:szCs w:val="22"/>
                <w:shd w:val="clear" w:color="auto" w:fill="FFFFFF"/>
              </w:rPr>
            </w:pPr>
          </w:p>
        </w:tc>
        <w:tc>
          <w:tcPr>
            <w:tcW w:w="1259" w:type="dxa"/>
            <w:vAlign w:val="center"/>
          </w:tcPr>
          <w:p w14:paraId="1DD2558F">
            <w:pPr>
              <w:shd w:val="solid" w:color="FFFFFF" w:fill="auto"/>
              <w:autoSpaceDN w:val="0"/>
              <w:spacing w:line="360" w:lineRule="auto"/>
              <w:rPr>
                <w:rFonts w:hint="eastAsia" w:ascii="宋体" w:hAnsi="宋体" w:cs="宋体"/>
                <w:sz w:val="22"/>
                <w:szCs w:val="22"/>
                <w:shd w:val="clear" w:color="auto" w:fill="FFFFFF"/>
              </w:rPr>
            </w:pPr>
          </w:p>
        </w:tc>
        <w:tc>
          <w:tcPr>
            <w:tcW w:w="1679" w:type="dxa"/>
            <w:vAlign w:val="center"/>
          </w:tcPr>
          <w:p w14:paraId="29291896">
            <w:pPr>
              <w:shd w:val="solid" w:color="FFFFFF" w:fill="auto"/>
              <w:autoSpaceDN w:val="0"/>
              <w:spacing w:line="360" w:lineRule="auto"/>
              <w:rPr>
                <w:rFonts w:hint="eastAsia" w:ascii="宋体" w:hAnsi="宋体" w:cs="宋体"/>
                <w:sz w:val="22"/>
                <w:szCs w:val="22"/>
                <w:shd w:val="clear" w:color="auto" w:fill="FFFFFF"/>
              </w:rPr>
            </w:pPr>
          </w:p>
        </w:tc>
      </w:tr>
    </w:tbl>
    <w:p w14:paraId="43FE7A96">
      <w:pPr>
        <w:shd w:val="solid" w:color="FFFFFF" w:fill="auto"/>
        <w:autoSpaceDN w:val="0"/>
        <w:spacing w:line="360" w:lineRule="auto"/>
        <w:rPr>
          <w:rFonts w:hint="eastAsia" w:ascii="宋体" w:hAnsi="宋体" w:cs="宋体"/>
          <w:sz w:val="22"/>
          <w:szCs w:val="22"/>
          <w:shd w:val="clear" w:color="auto" w:fill="FFFFFF"/>
        </w:rPr>
      </w:pPr>
      <w:r>
        <w:rPr>
          <w:rFonts w:hint="eastAsia" w:ascii="宋体" w:hAnsi="宋体" w:cs="宋体"/>
          <w:sz w:val="22"/>
          <w:szCs w:val="22"/>
          <w:shd w:val="clear" w:color="auto" w:fill="FFFFFF"/>
        </w:rPr>
        <w:t>注：（1）请投标人根据自身实际投标情况如实、完整、准确地填写，不得虚假响应。若由于投标人的疏忽大意或未能完整、如实填写，导致的一切后果由投标人自行承担。</w:t>
      </w:r>
    </w:p>
    <w:p w14:paraId="14B1B22C">
      <w:pPr>
        <w:shd w:val="solid" w:color="FFFFFF" w:fill="auto"/>
        <w:autoSpaceDN w:val="0"/>
        <w:spacing w:line="360" w:lineRule="auto"/>
        <w:rPr>
          <w:rFonts w:hint="eastAsia" w:ascii="宋体" w:hAnsi="宋体" w:cs="宋体"/>
          <w:sz w:val="22"/>
          <w:szCs w:val="22"/>
          <w:shd w:val="clear" w:color="auto" w:fill="FFFFFF"/>
        </w:rPr>
      </w:pPr>
      <w:r>
        <w:rPr>
          <w:rFonts w:hint="eastAsia" w:ascii="宋体" w:hAnsi="宋体" w:cs="宋体"/>
          <w:sz w:val="22"/>
          <w:szCs w:val="22"/>
          <w:shd w:val="clear" w:color="auto" w:fill="FFFFFF"/>
        </w:rPr>
        <w:t xml:space="preserve">（2）凡投标人产品内容与招标文件要求有区别的均按“正偏离”、“负偏离”填写，并在“投标文件技术参数响应内容”一列中写明详细的技术参数。凡与“采购需求及技术参数要求”中的技术参数要求有区别的，须在“说明”栏中逐条写明拟提供产品的技术参数，并说明偏离情况。 </w:t>
      </w:r>
    </w:p>
    <w:p w14:paraId="000D081F">
      <w:pPr>
        <w:shd w:val="solid" w:color="FFFFFF" w:fill="auto"/>
        <w:autoSpaceDN w:val="0"/>
        <w:spacing w:line="360" w:lineRule="auto"/>
        <w:rPr>
          <w:rFonts w:hint="eastAsia" w:ascii="宋体" w:hAnsi="宋体" w:cs="宋体"/>
          <w:sz w:val="22"/>
          <w:szCs w:val="22"/>
          <w:shd w:val="clear" w:color="auto" w:fill="FFFFFF"/>
        </w:rPr>
      </w:pPr>
      <w:r>
        <w:rPr>
          <w:rFonts w:hint="eastAsia" w:ascii="宋体" w:hAnsi="宋体" w:cs="宋体"/>
          <w:sz w:val="22"/>
          <w:szCs w:val="22"/>
          <w:shd w:val="clear" w:color="auto" w:fill="FFFFFF"/>
        </w:rPr>
        <w:t>（3）对“偏离”一栏，填写“无偏离、正偏离、负偏离”。其中正偏离是指所投货物技术性能优于招标文件所规定的技术性能；负偏离是指所投货物技术性能低于招标文件所规定的技术性能。</w:t>
      </w:r>
    </w:p>
    <w:p w14:paraId="0EFD4157">
      <w:pPr>
        <w:shd w:val="solid" w:color="FFFFFF" w:fill="auto"/>
        <w:autoSpaceDN w:val="0"/>
        <w:spacing w:line="360" w:lineRule="auto"/>
        <w:rPr>
          <w:rFonts w:hint="eastAsia" w:ascii="宋体" w:hAnsi="宋体" w:cs="宋体"/>
          <w:sz w:val="22"/>
          <w:szCs w:val="22"/>
          <w:shd w:val="clear" w:color="auto" w:fill="FFFFFF"/>
        </w:rPr>
      </w:pPr>
      <w:r>
        <w:rPr>
          <w:rFonts w:hint="eastAsia" w:ascii="宋体" w:hAnsi="宋体" w:cs="宋体"/>
          <w:sz w:val="22"/>
          <w:szCs w:val="22"/>
          <w:shd w:val="clear" w:color="auto" w:fill="FFFFFF"/>
        </w:rPr>
        <w:t>（4）投标人应将支持该项技术参数响应的技术支持资料在投标文件中的索引（页码及条目号等）标注在“技术支持资料索引”一栏中，如未标注导致的一切后果由投标人自行承担。</w:t>
      </w:r>
    </w:p>
    <w:p w14:paraId="24C0634D">
      <w:pPr>
        <w:shd w:val="solid" w:color="FFFFFF" w:fill="auto"/>
        <w:autoSpaceDN w:val="0"/>
        <w:spacing w:line="360" w:lineRule="auto"/>
        <w:rPr>
          <w:rFonts w:hint="eastAsia" w:ascii="宋体" w:hAnsi="宋体" w:cs="宋体"/>
          <w:sz w:val="22"/>
          <w:szCs w:val="22"/>
          <w:shd w:val="clear" w:color="auto" w:fill="FFFFFF"/>
        </w:rPr>
      </w:pPr>
      <w:r>
        <w:rPr>
          <w:rFonts w:hint="eastAsia" w:ascii="宋体" w:hAnsi="宋体" w:cs="宋体"/>
          <w:sz w:val="22"/>
          <w:szCs w:val="22"/>
          <w:shd w:val="clear" w:color="auto" w:fill="FFFFFF"/>
        </w:rPr>
        <w:t>（5）招标文件中标注“▲”与“■”的内容为本项目评分项，供应商须依据其投标设备的实际性能如实填写，并按照评分办法的规定提供相应证明材料。</w:t>
      </w:r>
    </w:p>
    <w:p w14:paraId="03AE470E">
      <w:pPr>
        <w:shd w:val="solid" w:color="FFFFFF" w:fill="auto"/>
        <w:autoSpaceDN w:val="0"/>
        <w:spacing w:line="360" w:lineRule="auto"/>
        <w:rPr>
          <w:rFonts w:hint="eastAsia" w:ascii="宋体" w:hAnsi="宋体" w:cs="宋体"/>
          <w:sz w:val="22"/>
          <w:szCs w:val="22"/>
          <w:shd w:val="clear" w:color="auto" w:fill="FFFFFF"/>
        </w:rPr>
      </w:pPr>
      <w:r>
        <w:rPr>
          <w:rFonts w:hint="eastAsia" w:ascii="宋体" w:hAnsi="宋体" w:cs="宋体"/>
          <w:sz w:val="22"/>
          <w:szCs w:val="22"/>
          <w:shd w:val="clear" w:color="auto" w:fill="FFFFFF"/>
        </w:rPr>
        <w:t>（6）未标注“▲”和“■”的内容不纳入本项目评分范围，供应商可根据自身投标设备性能，如实填写“技术参数响应偏离表”</w:t>
      </w:r>
      <w:r>
        <w:rPr>
          <w:rFonts w:hint="eastAsia" w:ascii="宋体" w:hAnsi="宋体" w:cs="宋体"/>
          <w:b/>
          <w:bCs/>
          <w:sz w:val="22"/>
          <w:szCs w:val="22"/>
          <w:shd w:val="clear" w:color="auto" w:fill="FFFFFF"/>
        </w:rPr>
        <w:t>（逐条响应）</w:t>
      </w:r>
      <w:r>
        <w:rPr>
          <w:rFonts w:hint="eastAsia" w:ascii="宋体" w:hAnsi="宋体" w:cs="宋体"/>
          <w:sz w:val="22"/>
          <w:szCs w:val="22"/>
          <w:shd w:val="clear" w:color="auto" w:fill="FFFFFF"/>
        </w:rPr>
        <w:t>；若未填写或未如实填写，后期交货将按照招标文件要求的参数进行验收，由此导致合同无法签订或验收不合格的责任由中标供应商自行承担。</w:t>
      </w:r>
    </w:p>
    <w:p w14:paraId="4FE88953">
      <w:pPr>
        <w:shd w:val="solid" w:color="FFFFFF" w:fill="auto"/>
        <w:autoSpaceDN w:val="0"/>
        <w:spacing w:line="360" w:lineRule="auto"/>
        <w:jc w:val="left"/>
        <w:rPr>
          <w:rFonts w:hint="eastAsia" w:ascii="宋体" w:hAnsi="宋体" w:cs="宋体"/>
          <w:sz w:val="24"/>
          <w:shd w:val="clear" w:color="auto" w:fill="FFFFFF"/>
        </w:rPr>
      </w:pPr>
      <w:r>
        <w:rPr>
          <w:rFonts w:hint="eastAsia" w:ascii="宋体" w:hAnsi="宋体" w:cs="宋体"/>
          <w:sz w:val="24"/>
        </w:rPr>
        <w:t>投标人：</w:t>
      </w:r>
      <w:r>
        <w:rPr>
          <w:rFonts w:hint="eastAsia" w:ascii="宋体" w:hAnsi="宋体" w:cs="宋体"/>
          <w:sz w:val="24"/>
          <w:u w:val="single"/>
        </w:rPr>
        <w:t xml:space="preserve">      （投标人全称）      </w:t>
      </w:r>
      <w:r>
        <w:rPr>
          <w:rFonts w:hint="eastAsia" w:ascii="宋体" w:hAnsi="宋体" w:cs="宋体"/>
          <w:sz w:val="24"/>
        </w:rPr>
        <w:t>（电子签章）</w:t>
      </w:r>
    </w:p>
    <w:p w14:paraId="26E9198F">
      <w:pPr>
        <w:shd w:val="solid" w:color="FFFFFF" w:fill="auto"/>
        <w:autoSpaceDN w:val="0"/>
        <w:spacing w:line="360" w:lineRule="auto"/>
        <w:jc w:val="left"/>
        <w:rPr>
          <w:rFonts w:hint="eastAsia" w:ascii="宋体" w:hAnsi="宋体" w:cs="宋体"/>
          <w:sz w:val="24"/>
          <w:shd w:val="clear" w:color="auto" w:fill="FFFFFF"/>
        </w:rPr>
      </w:pPr>
      <w:r>
        <w:rPr>
          <w:rFonts w:hint="eastAsia" w:ascii="宋体" w:hAnsi="宋体" w:cs="宋体"/>
          <w:sz w:val="24"/>
          <w:shd w:val="clear" w:color="auto" w:fill="FFFFFF"/>
        </w:rPr>
        <w:t>法定代表人或其委托代理人：</w:t>
      </w:r>
      <w:r>
        <w:rPr>
          <w:rFonts w:hint="eastAsia" w:ascii="宋体" w:hAnsi="宋体" w:cs="宋体"/>
          <w:sz w:val="24"/>
          <w:u w:val="single"/>
          <w:shd w:val="clear" w:color="auto" w:fill="FFFFFF"/>
        </w:rPr>
        <w:t xml:space="preserve">　               </w:t>
      </w:r>
      <w:r>
        <w:rPr>
          <w:rFonts w:hint="eastAsia" w:ascii="宋体" w:hAnsi="宋体" w:cs="宋体"/>
          <w:sz w:val="24"/>
          <w:shd w:val="clear" w:color="auto" w:fill="FFFFFF"/>
        </w:rPr>
        <w:t>（电子签章或电子签名）</w:t>
      </w:r>
    </w:p>
    <w:p w14:paraId="578645B6">
      <w:pPr>
        <w:shd w:val="solid" w:color="FFFFFF" w:fill="auto"/>
        <w:autoSpaceDN w:val="0"/>
        <w:spacing w:line="360" w:lineRule="auto"/>
        <w:jc w:val="left"/>
        <w:rPr>
          <w:rFonts w:hint="eastAsia" w:ascii="宋体" w:hAnsi="宋体" w:cs="宋体"/>
          <w:kern w:val="1"/>
          <w:sz w:val="24"/>
        </w:rPr>
      </w:pPr>
      <w:r>
        <w:rPr>
          <w:rFonts w:hint="eastAsia" w:ascii="宋体" w:hAnsi="宋体" w:cs="宋体"/>
          <w:sz w:val="24"/>
        </w:rPr>
        <w:t>日期：</w:t>
      </w:r>
      <w:r>
        <w:rPr>
          <w:rFonts w:hint="eastAsia" w:ascii="宋体" w:hAnsi="宋体" w:cs="宋体"/>
          <w:sz w:val="24"/>
          <w:u w:val="single"/>
          <w:shd w:val="clear" w:color="auto" w:fill="FFFFFF"/>
        </w:rPr>
        <w:t xml:space="preserve">　    </w:t>
      </w:r>
      <w:r>
        <w:rPr>
          <w:rFonts w:hint="eastAsia" w:ascii="宋体" w:hAnsi="宋体" w:cs="宋体"/>
          <w:sz w:val="24"/>
        </w:rPr>
        <w:t>年</w:t>
      </w:r>
      <w:r>
        <w:rPr>
          <w:rFonts w:hint="eastAsia" w:ascii="宋体" w:hAnsi="宋体" w:cs="宋体"/>
          <w:sz w:val="24"/>
          <w:u w:val="single"/>
          <w:shd w:val="clear" w:color="auto" w:fill="FFFFFF"/>
        </w:rPr>
        <w:t xml:space="preserve">　    </w:t>
      </w:r>
      <w:r>
        <w:rPr>
          <w:rFonts w:hint="eastAsia" w:ascii="宋体" w:hAnsi="宋体" w:cs="宋体"/>
          <w:sz w:val="24"/>
        </w:rPr>
        <w:t>月</w:t>
      </w:r>
      <w:r>
        <w:rPr>
          <w:rFonts w:hint="eastAsia" w:ascii="宋体" w:hAnsi="宋体" w:cs="宋体"/>
          <w:sz w:val="24"/>
          <w:u w:val="single"/>
          <w:shd w:val="clear" w:color="auto" w:fill="FFFFFF"/>
        </w:rPr>
        <w:t xml:space="preserve">　    </w:t>
      </w:r>
      <w:r>
        <w:rPr>
          <w:rFonts w:hint="eastAsia" w:ascii="宋体" w:hAnsi="宋体" w:cs="宋体"/>
          <w:sz w:val="24"/>
        </w:rPr>
        <w:t>日</w:t>
      </w:r>
    </w:p>
    <w:p w14:paraId="552D2AE3">
      <w:pPr>
        <w:shd w:val="solid" w:color="FFFFFF" w:fill="auto"/>
        <w:autoSpaceDN w:val="0"/>
        <w:spacing w:line="360" w:lineRule="auto"/>
        <w:jc w:val="center"/>
        <w:outlineLvl w:val="1"/>
        <w:rPr>
          <w:rFonts w:hint="eastAsia" w:ascii="宋体" w:hAnsi="宋体" w:cs="宋体"/>
          <w:b/>
          <w:sz w:val="32"/>
          <w:szCs w:val="32"/>
          <w:shd w:val="clear" w:color="auto" w:fill="FFFFFF"/>
        </w:rPr>
      </w:pPr>
    </w:p>
    <w:p w14:paraId="40D32327">
      <w:pPr>
        <w:shd w:val="solid" w:color="FFFFFF" w:fill="auto"/>
        <w:autoSpaceDN w:val="0"/>
        <w:spacing w:line="360" w:lineRule="auto"/>
        <w:jc w:val="center"/>
        <w:outlineLvl w:val="1"/>
        <w:rPr>
          <w:rFonts w:hint="eastAsia" w:ascii="宋体" w:hAnsi="宋体" w:cs="宋体"/>
          <w:b/>
          <w:sz w:val="32"/>
          <w:szCs w:val="32"/>
          <w:shd w:val="clear" w:color="auto" w:fill="FFFFFF"/>
        </w:rPr>
      </w:pPr>
    </w:p>
    <w:p w14:paraId="7EF85D17">
      <w:pPr>
        <w:spacing w:line="360" w:lineRule="auto"/>
        <w:rPr>
          <w:rFonts w:hint="eastAsia" w:ascii="宋体" w:hAnsi="宋体" w:cs="宋体"/>
          <w:b/>
          <w:sz w:val="32"/>
          <w:szCs w:val="32"/>
          <w:shd w:val="clear" w:color="auto" w:fill="FFFFFF"/>
        </w:rPr>
      </w:pPr>
      <w:bookmarkStart w:id="209" w:name="_Toc18453"/>
      <w:r>
        <w:rPr>
          <w:rFonts w:hint="eastAsia" w:ascii="宋体" w:hAnsi="宋体" w:cs="宋体"/>
          <w:b/>
          <w:sz w:val="32"/>
          <w:szCs w:val="32"/>
          <w:shd w:val="clear" w:color="auto" w:fill="FFFFFF"/>
        </w:rPr>
        <w:br w:type="page"/>
      </w:r>
    </w:p>
    <w:p w14:paraId="191837F7">
      <w:pPr>
        <w:shd w:val="solid" w:color="FFFFFF" w:fill="auto"/>
        <w:autoSpaceDN w:val="0"/>
        <w:spacing w:line="360" w:lineRule="auto"/>
        <w:jc w:val="center"/>
        <w:outlineLvl w:val="1"/>
        <w:rPr>
          <w:rFonts w:hint="eastAsia" w:ascii="宋体" w:hAnsi="宋体" w:cs="宋体"/>
          <w:b/>
          <w:sz w:val="32"/>
          <w:szCs w:val="32"/>
          <w:shd w:val="clear" w:color="auto" w:fill="FFFFFF"/>
        </w:rPr>
      </w:pPr>
      <w:bookmarkStart w:id="210" w:name="_Toc21747"/>
      <w:bookmarkStart w:id="211" w:name="_Toc4885"/>
      <w:bookmarkStart w:id="212" w:name="_Toc15063"/>
      <w:r>
        <w:rPr>
          <w:rFonts w:hint="eastAsia" w:ascii="宋体" w:hAnsi="宋体" w:cs="宋体"/>
          <w:b/>
          <w:sz w:val="32"/>
          <w:szCs w:val="32"/>
          <w:shd w:val="clear" w:color="auto" w:fill="FFFFFF"/>
        </w:rPr>
        <w:t>八、技术和商务部分</w:t>
      </w:r>
      <w:bookmarkEnd w:id="209"/>
      <w:bookmarkEnd w:id="210"/>
      <w:bookmarkEnd w:id="211"/>
      <w:bookmarkEnd w:id="212"/>
    </w:p>
    <w:p w14:paraId="5127B4E7">
      <w:pPr>
        <w:spacing w:line="360" w:lineRule="auto"/>
        <w:ind w:firstLine="480" w:firstLineChars="200"/>
        <w:rPr>
          <w:rFonts w:hint="eastAsia" w:ascii="宋体" w:hAnsi="宋体" w:cs="宋体"/>
          <w:sz w:val="24"/>
        </w:rPr>
      </w:pPr>
      <w:r>
        <w:rPr>
          <w:rFonts w:hint="eastAsia" w:ascii="宋体" w:hAnsi="宋体" w:cs="宋体"/>
          <w:sz w:val="24"/>
        </w:rPr>
        <w:t>投标人根据招标文件及评标方法进行编制，包含但不限于以下内容（无固定格式，由投标人自行编制）：</w:t>
      </w:r>
    </w:p>
    <w:p w14:paraId="7B53E844">
      <w:pPr>
        <w:spacing w:line="360" w:lineRule="auto"/>
        <w:ind w:firstLine="482" w:firstLineChars="200"/>
        <w:rPr>
          <w:rFonts w:hint="eastAsia" w:ascii="宋体" w:hAnsi="宋体" w:cs="宋体"/>
          <w:b/>
          <w:bCs/>
          <w:sz w:val="24"/>
        </w:rPr>
      </w:pPr>
      <w:r>
        <w:rPr>
          <w:rFonts w:hint="eastAsia" w:ascii="宋体" w:hAnsi="宋体" w:cs="宋体"/>
          <w:b/>
          <w:bCs/>
          <w:sz w:val="24"/>
        </w:rPr>
        <w:t>1、技术要求响应程度；</w:t>
      </w:r>
    </w:p>
    <w:p w14:paraId="5D027D8D">
      <w:pPr>
        <w:spacing w:line="360" w:lineRule="auto"/>
        <w:ind w:firstLine="480" w:firstLineChars="200"/>
        <w:rPr>
          <w:rFonts w:hint="eastAsia" w:ascii="宋体" w:hAnsi="宋体" w:cs="宋体"/>
          <w:sz w:val="24"/>
        </w:rPr>
      </w:pPr>
      <w:r>
        <w:rPr>
          <w:rFonts w:hint="eastAsia" w:ascii="宋体" w:hAnsi="宋体" w:cs="宋体"/>
          <w:sz w:val="24"/>
        </w:rPr>
        <w:t>（投标人根据自身情况据实填写《技术参数响应偏离表》，根据自身情况提供技术支持资料等）</w:t>
      </w:r>
    </w:p>
    <w:p w14:paraId="43976603">
      <w:pPr>
        <w:pStyle w:val="22"/>
        <w:spacing w:after="0" w:line="360" w:lineRule="auto"/>
        <w:ind w:left="0" w:leftChars="0" w:firstLine="404" w:firstLineChars="200"/>
        <w:rPr>
          <w:rFonts w:hint="eastAsia" w:cs="宋体"/>
        </w:rPr>
      </w:pPr>
    </w:p>
    <w:p w14:paraId="22314820">
      <w:pPr>
        <w:spacing w:line="360" w:lineRule="auto"/>
        <w:ind w:firstLine="482" w:firstLineChars="200"/>
        <w:rPr>
          <w:rFonts w:hint="eastAsia" w:ascii="宋体" w:hAnsi="宋体" w:cs="宋体"/>
          <w:b/>
          <w:bCs/>
          <w:sz w:val="24"/>
        </w:rPr>
      </w:pPr>
      <w:r>
        <w:rPr>
          <w:rFonts w:hint="eastAsia" w:ascii="宋体" w:hAnsi="宋体" w:cs="宋体"/>
          <w:b/>
          <w:bCs/>
          <w:sz w:val="24"/>
        </w:rPr>
        <w:t>2、项目供货方案；</w:t>
      </w:r>
    </w:p>
    <w:p w14:paraId="57A8AE98">
      <w:pPr>
        <w:spacing w:line="360" w:lineRule="auto"/>
        <w:ind w:firstLine="480" w:firstLineChars="200"/>
        <w:rPr>
          <w:rFonts w:hint="eastAsia" w:ascii="宋体" w:hAnsi="宋体" w:cs="宋体"/>
          <w:sz w:val="24"/>
        </w:rPr>
      </w:pPr>
      <w:r>
        <w:rPr>
          <w:rFonts w:hint="eastAsia" w:ascii="宋体" w:hAnsi="宋体" w:cs="宋体"/>
          <w:sz w:val="24"/>
        </w:rPr>
        <w:t>（投标人自拟格式）</w:t>
      </w:r>
    </w:p>
    <w:p w14:paraId="7D3ED52E">
      <w:pPr>
        <w:spacing w:line="360" w:lineRule="auto"/>
        <w:ind w:firstLine="420" w:firstLineChars="200"/>
        <w:rPr>
          <w:rFonts w:hint="eastAsia" w:ascii="宋体" w:hAnsi="宋体" w:cs="宋体"/>
        </w:rPr>
      </w:pPr>
    </w:p>
    <w:p w14:paraId="6E854F5A">
      <w:pPr>
        <w:spacing w:line="360" w:lineRule="auto"/>
        <w:ind w:firstLine="420" w:firstLineChars="200"/>
        <w:rPr>
          <w:rFonts w:hint="eastAsia" w:ascii="宋体" w:hAnsi="宋体" w:cs="宋体"/>
        </w:rPr>
      </w:pPr>
    </w:p>
    <w:p w14:paraId="0B422377">
      <w:pPr>
        <w:spacing w:line="360" w:lineRule="auto"/>
        <w:ind w:firstLine="482" w:firstLineChars="200"/>
        <w:rPr>
          <w:rFonts w:hint="eastAsia" w:ascii="宋体" w:hAnsi="宋体" w:cs="宋体"/>
          <w:b/>
          <w:bCs/>
          <w:sz w:val="24"/>
        </w:rPr>
      </w:pPr>
      <w:r>
        <w:rPr>
          <w:rFonts w:hint="eastAsia" w:ascii="宋体" w:hAnsi="宋体" w:cs="宋体"/>
          <w:b/>
          <w:bCs/>
          <w:sz w:val="24"/>
        </w:rPr>
        <w:t>3、售后服务方案；</w:t>
      </w:r>
    </w:p>
    <w:p w14:paraId="035731C6">
      <w:pPr>
        <w:spacing w:line="360" w:lineRule="auto"/>
        <w:ind w:firstLine="480" w:firstLineChars="200"/>
        <w:rPr>
          <w:rFonts w:hint="eastAsia" w:ascii="宋体" w:hAnsi="宋体" w:cs="宋体"/>
          <w:sz w:val="24"/>
        </w:rPr>
      </w:pPr>
      <w:r>
        <w:rPr>
          <w:rFonts w:hint="eastAsia" w:ascii="宋体" w:hAnsi="宋体" w:cs="宋体"/>
          <w:sz w:val="24"/>
        </w:rPr>
        <w:t>（投标人自拟格式）</w:t>
      </w:r>
    </w:p>
    <w:p w14:paraId="431D2C7B">
      <w:pPr>
        <w:spacing w:line="360" w:lineRule="auto"/>
        <w:rPr>
          <w:rFonts w:hint="eastAsia" w:ascii="宋体" w:hAnsi="宋体" w:cs="宋体"/>
        </w:rPr>
      </w:pPr>
    </w:p>
    <w:p w14:paraId="51404353">
      <w:pPr>
        <w:spacing w:line="360" w:lineRule="auto"/>
        <w:ind w:firstLine="482" w:firstLineChars="200"/>
        <w:rPr>
          <w:rFonts w:hint="eastAsia" w:ascii="宋体" w:hAnsi="宋体" w:cs="宋体"/>
          <w:b/>
          <w:bCs/>
          <w:sz w:val="24"/>
        </w:rPr>
      </w:pPr>
      <w:r>
        <w:rPr>
          <w:rFonts w:hint="eastAsia" w:ascii="宋体" w:hAnsi="宋体" w:cs="宋体"/>
          <w:b/>
          <w:bCs/>
          <w:sz w:val="24"/>
        </w:rPr>
        <w:t>4、类似业绩；</w:t>
      </w:r>
    </w:p>
    <w:p w14:paraId="29639C6C">
      <w:pPr>
        <w:spacing w:line="360" w:lineRule="auto"/>
        <w:ind w:firstLine="480" w:firstLineChars="200"/>
        <w:rPr>
          <w:rFonts w:hint="eastAsia" w:ascii="宋体" w:hAnsi="宋体" w:cs="宋体"/>
          <w:sz w:val="24"/>
        </w:rPr>
      </w:pPr>
      <w:r>
        <w:rPr>
          <w:rFonts w:hint="eastAsia" w:ascii="宋体" w:hAnsi="宋体" w:cs="宋体"/>
          <w:sz w:val="24"/>
        </w:rPr>
        <w:t>（格式参考表一：《类似业绩一览表》，表格外的内容投标人自拟格式）</w:t>
      </w:r>
    </w:p>
    <w:p w14:paraId="6D74A9D5">
      <w:pPr>
        <w:pStyle w:val="22"/>
        <w:spacing w:line="360" w:lineRule="auto"/>
        <w:ind w:left="0" w:leftChars="0" w:firstLine="0"/>
        <w:rPr>
          <w:rFonts w:hint="eastAsia" w:cs="宋体"/>
        </w:rPr>
      </w:pPr>
    </w:p>
    <w:p w14:paraId="2FA43EF9">
      <w:pPr>
        <w:spacing w:line="360" w:lineRule="auto"/>
        <w:ind w:firstLine="480" w:firstLineChars="200"/>
        <w:rPr>
          <w:rFonts w:hint="eastAsia" w:ascii="宋体" w:hAnsi="宋体" w:cs="宋体"/>
          <w:sz w:val="24"/>
        </w:rPr>
      </w:pPr>
    </w:p>
    <w:p w14:paraId="4B10B431">
      <w:pPr>
        <w:spacing w:line="360" w:lineRule="auto"/>
        <w:ind w:firstLine="480" w:firstLineChars="200"/>
        <w:rPr>
          <w:rFonts w:hint="eastAsia" w:ascii="宋体" w:hAnsi="宋体" w:cs="宋体"/>
          <w:sz w:val="24"/>
        </w:rPr>
      </w:pPr>
    </w:p>
    <w:p w14:paraId="5ADD9E8E">
      <w:pPr>
        <w:spacing w:line="360" w:lineRule="auto"/>
        <w:ind w:firstLine="482" w:firstLineChars="200"/>
        <w:rPr>
          <w:rFonts w:hint="eastAsia" w:ascii="宋体" w:hAnsi="宋体" w:cs="宋体"/>
          <w:b/>
          <w:bCs/>
          <w:sz w:val="24"/>
        </w:rPr>
      </w:pPr>
      <w:r>
        <w:rPr>
          <w:rFonts w:hint="eastAsia" w:ascii="宋体" w:hAnsi="宋体" w:cs="宋体"/>
          <w:b/>
          <w:bCs/>
          <w:sz w:val="24"/>
        </w:rPr>
        <w:t>5、投标人认为有必要提供的其他资料。</w:t>
      </w:r>
    </w:p>
    <w:p w14:paraId="031896DD">
      <w:pPr>
        <w:tabs>
          <w:tab w:val="right" w:pos="8306"/>
        </w:tabs>
        <w:spacing w:line="360" w:lineRule="auto"/>
        <w:rPr>
          <w:rFonts w:hint="eastAsia" w:ascii="宋体" w:hAnsi="宋体" w:cs="宋体"/>
          <w:b/>
          <w:sz w:val="32"/>
          <w:szCs w:val="32"/>
          <w:shd w:val="clear" w:color="auto" w:fill="FFFFFF"/>
        </w:rPr>
      </w:pPr>
      <w:r>
        <w:rPr>
          <w:rFonts w:hint="eastAsia" w:ascii="宋体" w:hAnsi="宋体" w:cs="宋体"/>
        </w:rPr>
        <w:br w:type="page"/>
      </w:r>
      <w:r>
        <w:rPr>
          <w:rFonts w:hint="eastAsia" w:ascii="宋体" w:hAnsi="宋体" w:cs="宋体"/>
          <w:b/>
          <w:sz w:val="32"/>
          <w:szCs w:val="32"/>
          <w:shd w:val="clear" w:color="auto" w:fill="FFFFFF"/>
        </w:rPr>
        <w:t>表一：</w:t>
      </w:r>
    </w:p>
    <w:p w14:paraId="616057A0">
      <w:pPr>
        <w:tabs>
          <w:tab w:val="right" w:pos="8306"/>
        </w:tabs>
        <w:spacing w:line="360" w:lineRule="auto"/>
        <w:jc w:val="center"/>
        <w:rPr>
          <w:rFonts w:hint="eastAsia" w:ascii="宋体" w:hAnsi="宋体" w:cs="宋体"/>
          <w:b/>
          <w:sz w:val="32"/>
          <w:szCs w:val="32"/>
          <w:shd w:val="clear" w:color="auto" w:fill="FFFFFF"/>
        </w:rPr>
      </w:pPr>
      <w:r>
        <w:rPr>
          <w:rFonts w:hint="eastAsia" w:ascii="宋体" w:hAnsi="宋体" w:cs="宋体"/>
          <w:b/>
          <w:sz w:val="32"/>
          <w:szCs w:val="32"/>
          <w:shd w:val="clear" w:color="auto" w:fill="FFFFFF"/>
        </w:rPr>
        <w:t>类似业绩一览表</w:t>
      </w:r>
    </w:p>
    <w:p w14:paraId="480E8FEF">
      <w:pPr>
        <w:shd w:val="solid" w:color="FFFFFF" w:fill="auto"/>
        <w:autoSpaceDN w:val="0"/>
        <w:spacing w:line="360" w:lineRule="auto"/>
        <w:rPr>
          <w:rFonts w:hint="eastAsia" w:ascii="宋体" w:hAnsi="宋体" w:cs="宋体"/>
          <w:sz w:val="24"/>
          <w:u w:val="single"/>
          <w:shd w:val="clear" w:color="auto" w:fill="FFFFFF"/>
        </w:rPr>
      </w:pPr>
      <w:r>
        <w:rPr>
          <w:rFonts w:hint="eastAsia" w:ascii="宋体" w:hAnsi="宋体" w:cs="宋体"/>
          <w:sz w:val="24"/>
          <w:shd w:val="clear" w:color="auto" w:fill="FFFFFF"/>
        </w:rPr>
        <w:t>项目名称：</w:t>
      </w:r>
      <w:r>
        <w:rPr>
          <w:rFonts w:hint="eastAsia" w:ascii="宋体" w:hAnsi="宋体" w:cs="宋体"/>
          <w:sz w:val="24"/>
          <w:szCs w:val="20"/>
          <w:u w:val="single"/>
          <w:shd w:val="clear" w:color="auto" w:fill="FFFFFF"/>
        </w:rPr>
        <w:t>玉溪市2026年生态环境监测能力提升项目</w:t>
      </w:r>
    </w:p>
    <w:p w14:paraId="71B4A980">
      <w:pPr>
        <w:shd w:val="solid" w:color="FFFFFF" w:fill="auto"/>
        <w:autoSpaceDN w:val="0"/>
        <w:spacing w:line="360" w:lineRule="auto"/>
        <w:rPr>
          <w:rFonts w:hint="eastAsia" w:ascii="宋体" w:hAnsi="宋体" w:cs="宋体"/>
          <w:sz w:val="24"/>
          <w:shd w:val="clear" w:color="auto" w:fill="FFFFFF"/>
        </w:rPr>
      </w:pPr>
      <w:r>
        <w:rPr>
          <w:rFonts w:hint="eastAsia" w:ascii="宋体" w:hAnsi="宋体" w:cs="宋体"/>
          <w:sz w:val="24"/>
          <w:shd w:val="clear" w:color="auto" w:fill="FFFFFF"/>
        </w:rPr>
        <w:t>项目编号：</w:t>
      </w:r>
      <w:r>
        <w:rPr>
          <w:rFonts w:hint="eastAsia" w:ascii="宋体" w:hAnsi="宋体" w:cs="宋体"/>
          <w:sz w:val="24"/>
          <w:u w:val="single"/>
          <w:shd w:val="clear" w:color="auto" w:fill="FFFFFF"/>
        </w:rPr>
        <w:t xml:space="preserve">                       </w:t>
      </w:r>
      <w:r>
        <w:rPr>
          <w:rFonts w:hint="eastAsia" w:ascii="宋体" w:hAnsi="宋体" w:cs="宋体"/>
          <w:sz w:val="24"/>
          <w:shd w:val="clear" w:color="auto" w:fill="FFFFFF"/>
        </w:rPr>
        <w:t>　</w:t>
      </w:r>
    </w:p>
    <w:p w14:paraId="3AD77FFF">
      <w:pPr>
        <w:pStyle w:val="6"/>
        <w:spacing w:line="360" w:lineRule="auto"/>
        <w:rPr>
          <w:rFonts w:hint="eastAsia" w:ascii="宋体" w:hAnsi="宋体" w:cs="宋体"/>
        </w:rPr>
      </w:pPr>
    </w:p>
    <w:tbl>
      <w:tblPr>
        <w:tblStyle w:val="23"/>
        <w:tblW w:w="0" w:type="auto"/>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720"/>
        <w:gridCol w:w="1440"/>
        <w:gridCol w:w="1320"/>
        <w:gridCol w:w="1161"/>
        <w:gridCol w:w="1260"/>
        <w:gridCol w:w="1651"/>
        <w:gridCol w:w="1050"/>
      </w:tblGrid>
      <w:tr w14:paraId="032EF99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cantSplit/>
          <w:trHeight w:val="600" w:hRule="atLeast"/>
          <w:jc w:val="center"/>
        </w:trPr>
        <w:tc>
          <w:tcPr>
            <w:tcW w:w="72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78563412">
            <w:pPr>
              <w:shd w:val="solid" w:color="FFFFFF" w:fill="auto"/>
              <w:autoSpaceDN w:val="0"/>
              <w:spacing w:line="360" w:lineRule="auto"/>
              <w:ind w:firstLine="105"/>
              <w:jc w:val="center"/>
              <w:rPr>
                <w:rFonts w:hint="eastAsia" w:ascii="宋体" w:hAnsi="宋体" w:cs="宋体"/>
                <w:b/>
                <w:sz w:val="24"/>
                <w:shd w:val="clear" w:color="auto" w:fill="FFFFFF"/>
              </w:rPr>
            </w:pPr>
            <w:r>
              <w:rPr>
                <w:rFonts w:hint="eastAsia" w:ascii="宋体" w:hAnsi="宋体" w:cs="宋体"/>
                <w:b/>
                <w:sz w:val="24"/>
                <w:shd w:val="clear" w:color="auto" w:fill="FFFFFF"/>
              </w:rPr>
              <w:t>序号</w:t>
            </w:r>
          </w:p>
        </w:tc>
        <w:tc>
          <w:tcPr>
            <w:tcW w:w="144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1E189FF6">
            <w:pPr>
              <w:shd w:val="solid" w:color="FFFFFF" w:fill="auto"/>
              <w:autoSpaceDN w:val="0"/>
              <w:spacing w:line="360" w:lineRule="auto"/>
              <w:jc w:val="center"/>
              <w:rPr>
                <w:rFonts w:hint="eastAsia" w:ascii="宋体" w:hAnsi="宋体" w:cs="宋体"/>
                <w:sz w:val="24"/>
                <w:shd w:val="clear" w:color="auto" w:fill="FFFFFF"/>
              </w:rPr>
            </w:pPr>
            <w:r>
              <w:rPr>
                <w:rFonts w:hint="eastAsia" w:ascii="宋体" w:hAnsi="宋体" w:cs="宋体"/>
                <w:b/>
                <w:sz w:val="24"/>
                <w:shd w:val="clear" w:color="auto" w:fill="FFFFFF"/>
              </w:rPr>
              <w:t>业主（采购方）名称</w:t>
            </w:r>
          </w:p>
        </w:tc>
        <w:tc>
          <w:tcPr>
            <w:tcW w:w="132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31BD58F0">
            <w:pPr>
              <w:shd w:val="solid" w:color="FFFFFF" w:fill="auto"/>
              <w:autoSpaceDN w:val="0"/>
              <w:spacing w:line="360" w:lineRule="auto"/>
              <w:jc w:val="center"/>
              <w:rPr>
                <w:rFonts w:hint="eastAsia" w:ascii="宋体" w:hAnsi="宋体" w:cs="宋体"/>
                <w:sz w:val="24"/>
                <w:shd w:val="clear" w:color="auto" w:fill="FFFFFF"/>
              </w:rPr>
            </w:pPr>
            <w:r>
              <w:rPr>
                <w:rFonts w:hint="eastAsia" w:ascii="宋体" w:hAnsi="宋体" w:cs="宋体"/>
                <w:b/>
                <w:sz w:val="24"/>
                <w:shd w:val="clear" w:color="auto" w:fill="FFFFFF"/>
              </w:rPr>
              <w:t>项目名称</w:t>
            </w:r>
          </w:p>
        </w:tc>
        <w:tc>
          <w:tcPr>
            <w:tcW w:w="1161"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4809CE59">
            <w:pPr>
              <w:shd w:val="solid" w:color="FFFFFF" w:fill="auto"/>
              <w:autoSpaceDN w:val="0"/>
              <w:spacing w:line="360" w:lineRule="auto"/>
              <w:jc w:val="center"/>
              <w:rPr>
                <w:rFonts w:hint="eastAsia" w:ascii="宋体" w:hAnsi="宋体" w:cs="宋体"/>
                <w:sz w:val="24"/>
                <w:shd w:val="clear" w:color="auto" w:fill="FFFFFF"/>
              </w:rPr>
            </w:pPr>
            <w:r>
              <w:rPr>
                <w:rFonts w:hint="eastAsia" w:ascii="宋体" w:hAnsi="宋体" w:cs="宋体"/>
                <w:b/>
                <w:bCs/>
                <w:sz w:val="24"/>
                <w:shd w:val="clear" w:color="auto" w:fill="FFFFFF"/>
              </w:rPr>
              <w:t>合同金额</w:t>
            </w:r>
          </w:p>
        </w:tc>
        <w:tc>
          <w:tcPr>
            <w:tcW w:w="126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3B3DFA09">
            <w:pPr>
              <w:shd w:val="solid" w:color="FFFFFF" w:fill="auto"/>
              <w:autoSpaceDN w:val="0"/>
              <w:spacing w:line="360" w:lineRule="auto"/>
              <w:ind w:firstLine="105"/>
              <w:jc w:val="center"/>
              <w:rPr>
                <w:rFonts w:hint="eastAsia" w:ascii="宋体" w:hAnsi="宋体" w:cs="宋体"/>
                <w:b/>
                <w:sz w:val="24"/>
                <w:shd w:val="clear" w:color="auto" w:fill="FFFFFF"/>
              </w:rPr>
            </w:pPr>
            <w:r>
              <w:rPr>
                <w:rFonts w:hint="eastAsia" w:ascii="宋体" w:hAnsi="宋体" w:cs="宋体"/>
                <w:b/>
                <w:sz w:val="24"/>
                <w:shd w:val="clear" w:color="auto" w:fill="FFFFFF"/>
              </w:rPr>
              <w:t>签订时间</w:t>
            </w:r>
          </w:p>
        </w:tc>
        <w:tc>
          <w:tcPr>
            <w:tcW w:w="1651"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53ADEC9B">
            <w:pPr>
              <w:shd w:val="solid" w:color="FFFFFF" w:fill="auto"/>
              <w:autoSpaceDN w:val="0"/>
              <w:spacing w:line="360" w:lineRule="auto"/>
              <w:jc w:val="center"/>
              <w:rPr>
                <w:rFonts w:hint="eastAsia" w:ascii="宋体" w:hAnsi="宋体" w:cs="宋体"/>
                <w:sz w:val="24"/>
                <w:shd w:val="clear" w:color="auto" w:fill="FFFFFF"/>
              </w:rPr>
            </w:pPr>
            <w:r>
              <w:rPr>
                <w:rFonts w:hint="eastAsia" w:ascii="宋体" w:hAnsi="宋体" w:cs="宋体"/>
                <w:b/>
                <w:sz w:val="24"/>
                <w:shd w:val="clear" w:color="auto" w:fill="FFFFFF"/>
              </w:rPr>
              <w:t>联系人及联系方式</w:t>
            </w:r>
          </w:p>
        </w:tc>
        <w:tc>
          <w:tcPr>
            <w:tcW w:w="105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525ADF22">
            <w:pPr>
              <w:shd w:val="solid" w:color="FFFFFF" w:fill="auto"/>
              <w:autoSpaceDN w:val="0"/>
              <w:spacing w:line="360" w:lineRule="auto"/>
              <w:jc w:val="center"/>
              <w:rPr>
                <w:rFonts w:hint="eastAsia" w:ascii="宋体" w:hAnsi="宋体" w:cs="宋体"/>
                <w:sz w:val="24"/>
                <w:shd w:val="clear" w:color="auto" w:fill="FFFFFF"/>
              </w:rPr>
            </w:pPr>
            <w:r>
              <w:rPr>
                <w:rFonts w:hint="eastAsia" w:ascii="宋体" w:hAnsi="宋体" w:cs="宋体"/>
                <w:b/>
                <w:sz w:val="24"/>
                <w:shd w:val="clear" w:color="auto" w:fill="FFFFFF"/>
              </w:rPr>
              <w:t>备注</w:t>
            </w:r>
          </w:p>
        </w:tc>
      </w:tr>
      <w:tr w14:paraId="2A88829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cantSplit/>
          <w:trHeight w:val="566" w:hRule="atLeast"/>
          <w:jc w:val="center"/>
        </w:trPr>
        <w:tc>
          <w:tcPr>
            <w:tcW w:w="72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3C2AC2D8">
            <w:pPr>
              <w:pStyle w:val="14"/>
              <w:spacing w:line="360" w:lineRule="auto"/>
              <w:jc w:val="center"/>
              <w:rPr>
                <w:rFonts w:hint="eastAsia" w:ascii="宋体" w:hAnsi="宋体" w:cs="宋体"/>
                <w:sz w:val="24"/>
                <w:shd w:val="clear" w:color="auto" w:fill="FFFFFF"/>
              </w:rPr>
            </w:pPr>
            <w:r>
              <w:rPr>
                <w:rFonts w:hint="eastAsia" w:ascii="宋体" w:hAnsi="宋体" w:cs="宋体"/>
                <w:sz w:val="24"/>
                <w:szCs w:val="24"/>
              </w:rPr>
              <w:t>1</w:t>
            </w:r>
          </w:p>
        </w:tc>
        <w:tc>
          <w:tcPr>
            <w:tcW w:w="144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4F81A4E6">
            <w:pPr>
              <w:shd w:val="solid" w:color="FFFFFF" w:fill="auto"/>
              <w:autoSpaceDN w:val="0"/>
              <w:spacing w:line="360" w:lineRule="auto"/>
              <w:jc w:val="center"/>
              <w:rPr>
                <w:rFonts w:hint="eastAsia" w:ascii="宋体" w:hAnsi="宋体" w:cs="宋体"/>
                <w:sz w:val="24"/>
                <w:shd w:val="clear" w:color="auto" w:fill="FFFFFF"/>
              </w:rPr>
            </w:pPr>
          </w:p>
        </w:tc>
        <w:tc>
          <w:tcPr>
            <w:tcW w:w="132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3B9FE086">
            <w:pPr>
              <w:shd w:val="solid" w:color="FFFFFF" w:fill="auto"/>
              <w:autoSpaceDN w:val="0"/>
              <w:spacing w:line="360" w:lineRule="auto"/>
              <w:jc w:val="center"/>
              <w:rPr>
                <w:rFonts w:hint="eastAsia" w:ascii="宋体" w:hAnsi="宋体" w:cs="宋体"/>
                <w:sz w:val="24"/>
                <w:shd w:val="clear" w:color="auto" w:fill="FFFFFF"/>
              </w:rPr>
            </w:pPr>
          </w:p>
        </w:tc>
        <w:tc>
          <w:tcPr>
            <w:tcW w:w="1161"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7F754DC4">
            <w:pPr>
              <w:shd w:val="solid" w:color="FFFFFF" w:fill="auto"/>
              <w:autoSpaceDN w:val="0"/>
              <w:spacing w:line="360" w:lineRule="auto"/>
              <w:jc w:val="center"/>
              <w:rPr>
                <w:rFonts w:hint="eastAsia" w:ascii="宋体" w:hAnsi="宋体" w:cs="宋体"/>
                <w:sz w:val="24"/>
                <w:shd w:val="clear" w:color="auto" w:fill="FFFFFF"/>
              </w:rPr>
            </w:pPr>
          </w:p>
        </w:tc>
        <w:tc>
          <w:tcPr>
            <w:tcW w:w="126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52355748">
            <w:pPr>
              <w:shd w:val="solid" w:color="FFFFFF" w:fill="auto"/>
              <w:autoSpaceDN w:val="0"/>
              <w:spacing w:line="360" w:lineRule="auto"/>
              <w:jc w:val="center"/>
              <w:rPr>
                <w:rFonts w:hint="eastAsia" w:ascii="宋体" w:hAnsi="宋体" w:cs="宋体"/>
                <w:sz w:val="24"/>
                <w:shd w:val="clear" w:color="auto" w:fill="FFFFFF"/>
              </w:rPr>
            </w:pPr>
          </w:p>
        </w:tc>
        <w:tc>
          <w:tcPr>
            <w:tcW w:w="1651"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63624164">
            <w:pPr>
              <w:shd w:val="solid" w:color="FFFFFF" w:fill="auto"/>
              <w:autoSpaceDN w:val="0"/>
              <w:spacing w:line="360" w:lineRule="auto"/>
              <w:jc w:val="center"/>
              <w:rPr>
                <w:rFonts w:hint="eastAsia" w:ascii="宋体" w:hAnsi="宋体" w:cs="宋体"/>
                <w:sz w:val="24"/>
                <w:shd w:val="clear" w:color="auto" w:fill="FFFFFF"/>
              </w:rPr>
            </w:pPr>
          </w:p>
        </w:tc>
        <w:tc>
          <w:tcPr>
            <w:tcW w:w="105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4B738A2B">
            <w:pPr>
              <w:shd w:val="solid" w:color="FFFFFF" w:fill="auto"/>
              <w:autoSpaceDN w:val="0"/>
              <w:spacing w:line="360" w:lineRule="auto"/>
              <w:jc w:val="center"/>
              <w:rPr>
                <w:rFonts w:hint="eastAsia" w:ascii="宋体" w:hAnsi="宋体" w:cs="宋体"/>
                <w:sz w:val="24"/>
                <w:shd w:val="clear" w:color="auto" w:fill="FFFFFF"/>
              </w:rPr>
            </w:pPr>
          </w:p>
        </w:tc>
      </w:tr>
      <w:tr w14:paraId="788E4E9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cantSplit/>
          <w:trHeight w:val="566" w:hRule="atLeast"/>
          <w:jc w:val="center"/>
        </w:trPr>
        <w:tc>
          <w:tcPr>
            <w:tcW w:w="72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5206B511">
            <w:pPr>
              <w:pStyle w:val="31"/>
              <w:spacing w:line="360" w:lineRule="auto"/>
              <w:jc w:val="center"/>
              <w:rPr>
                <w:rFonts w:hint="eastAsia" w:ascii="宋体" w:hAnsi="宋体" w:cs="宋体"/>
                <w:sz w:val="24"/>
                <w:shd w:val="clear" w:color="auto" w:fill="FFFFFF"/>
              </w:rPr>
            </w:pPr>
            <w:r>
              <w:rPr>
                <w:rFonts w:hint="eastAsia" w:ascii="宋体" w:hAnsi="宋体" w:cs="宋体"/>
                <w:sz w:val="24"/>
                <w:szCs w:val="24"/>
              </w:rPr>
              <w:t>2</w:t>
            </w:r>
          </w:p>
        </w:tc>
        <w:tc>
          <w:tcPr>
            <w:tcW w:w="144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665D41B0">
            <w:pPr>
              <w:shd w:val="solid" w:color="FFFFFF" w:fill="auto"/>
              <w:autoSpaceDN w:val="0"/>
              <w:spacing w:line="360" w:lineRule="auto"/>
              <w:jc w:val="center"/>
              <w:rPr>
                <w:rFonts w:hint="eastAsia" w:ascii="宋体" w:hAnsi="宋体" w:cs="宋体"/>
                <w:sz w:val="24"/>
                <w:shd w:val="clear" w:color="auto" w:fill="FFFFFF"/>
              </w:rPr>
            </w:pPr>
          </w:p>
        </w:tc>
        <w:tc>
          <w:tcPr>
            <w:tcW w:w="132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22ADE816">
            <w:pPr>
              <w:shd w:val="solid" w:color="FFFFFF" w:fill="auto"/>
              <w:autoSpaceDN w:val="0"/>
              <w:spacing w:line="360" w:lineRule="auto"/>
              <w:jc w:val="center"/>
              <w:rPr>
                <w:rFonts w:hint="eastAsia" w:ascii="宋体" w:hAnsi="宋体" w:cs="宋体"/>
                <w:sz w:val="24"/>
                <w:shd w:val="clear" w:color="auto" w:fill="FFFFFF"/>
              </w:rPr>
            </w:pPr>
          </w:p>
        </w:tc>
        <w:tc>
          <w:tcPr>
            <w:tcW w:w="1161"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04AD6418">
            <w:pPr>
              <w:shd w:val="solid" w:color="FFFFFF" w:fill="auto"/>
              <w:autoSpaceDN w:val="0"/>
              <w:spacing w:line="360" w:lineRule="auto"/>
              <w:jc w:val="center"/>
              <w:rPr>
                <w:rFonts w:hint="eastAsia" w:ascii="宋体" w:hAnsi="宋体" w:cs="宋体"/>
                <w:sz w:val="24"/>
                <w:shd w:val="clear" w:color="auto" w:fill="FFFFFF"/>
              </w:rPr>
            </w:pPr>
          </w:p>
        </w:tc>
        <w:tc>
          <w:tcPr>
            <w:tcW w:w="126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0AE5A6DE">
            <w:pPr>
              <w:shd w:val="solid" w:color="FFFFFF" w:fill="auto"/>
              <w:autoSpaceDN w:val="0"/>
              <w:spacing w:line="360" w:lineRule="auto"/>
              <w:jc w:val="center"/>
              <w:rPr>
                <w:rFonts w:hint="eastAsia" w:ascii="宋体" w:hAnsi="宋体" w:cs="宋体"/>
                <w:sz w:val="24"/>
                <w:shd w:val="clear" w:color="auto" w:fill="FFFFFF"/>
              </w:rPr>
            </w:pPr>
          </w:p>
        </w:tc>
        <w:tc>
          <w:tcPr>
            <w:tcW w:w="1651"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273F4454">
            <w:pPr>
              <w:shd w:val="solid" w:color="FFFFFF" w:fill="auto"/>
              <w:autoSpaceDN w:val="0"/>
              <w:spacing w:line="360" w:lineRule="auto"/>
              <w:jc w:val="center"/>
              <w:rPr>
                <w:rFonts w:hint="eastAsia" w:ascii="宋体" w:hAnsi="宋体" w:cs="宋体"/>
                <w:sz w:val="24"/>
                <w:shd w:val="clear" w:color="auto" w:fill="FFFFFF"/>
              </w:rPr>
            </w:pPr>
          </w:p>
        </w:tc>
        <w:tc>
          <w:tcPr>
            <w:tcW w:w="105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412D0E67">
            <w:pPr>
              <w:shd w:val="solid" w:color="FFFFFF" w:fill="auto"/>
              <w:autoSpaceDN w:val="0"/>
              <w:spacing w:line="360" w:lineRule="auto"/>
              <w:jc w:val="center"/>
              <w:rPr>
                <w:rFonts w:hint="eastAsia" w:ascii="宋体" w:hAnsi="宋体" w:cs="宋体"/>
                <w:sz w:val="24"/>
                <w:shd w:val="clear" w:color="auto" w:fill="FFFFFF"/>
              </w:rPr>
            </w:pPr>
          </w:p>
        </w:tc>
      </w:tr>
      <w:tr w14:paraId="5B5715F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cantSplit/>
          <w:trHeight w:val="566" w:hRule="atLeast"/>
          <w:jc w:val="center"/>
        </w:trPr>
        <w:tc>
          <w:tcPr>
            <w:tcW w:w="72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066B155D">
            <w:pPr>
              <w:pStyle w:val="31"/>
              <w:spacing w:line="360" w:lineRule="auto"/>
              <w:jc w:val="center"/>
              <w:rPr>
                <w:rFonts w:hint="eastAsia" w:ascii="宋体" w:hAnsi="宋体" w:cs="宋体"/>
                <w:sz w:val="24"/>
                <w:shd w:val="clear" w:color="auto" w:fill="FFFFFF"/>
              </w:rPr>
            </w:pPr>
            <w:r>
              <w:rPr>
                <w:rFonts w:hint="eastAsia" w:ascii="宋体" w:hAnsi="宋体" w:cs="宋体"/>
                <w:sz w:val="24"/>
                <w:szCs w:val="24"/>
              </w:rPr>
              <w:t>3</w:t>
            </w:r>
          </w:p>
        </w:tc>
        <w:tc>
          <w:tcPr>
            <w:tcW w:w="144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551F3DF7">
            <w:pPr>
              <w:shd w:val="solid" w:color="FFFFFF" w:fill="auto"/>
              <w:autoSpaceDN w:val="0"/>
              <w:spacing w:line="360" w:lineRule="auto"/>
              <w:jc w:val="center"/>
              <w:rPr>
                <w:rFonts w:hint="eastAsia" w:ascii="宋体" w:hAnsi="宋体" w:cs="宋体"/>
                <w:sz w:val="24"/>
                <w:shd w:val="clear" w:color="auto" w:fill="FFFFFF"/>
              </w:rPr>
            </w:pPr>
          </w:p>
        </w:tc>
        <w:tc>
          <w:tcPr>
            <w:tcW w:w="132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2A991AE0">
            <w:pPr>
              <w:shd w:val="solid" w:color="FFFFFF" w:fill="auto"/>
              <w:autoSpaceDN w:val="0"/>
              <w:spacing w:line="360" w:lineRule="auto"/>
              <w:jc w:val="center"/>
              <w:rPr>
                <w:rFonts w:hint="eastAsia" w:ascii="宋体" w:hAnsi="宋体" w:cs="宋体"/>
                <w:sz w:val="24"/>
                <w:shd w:val="clear" w:color="auto" w:fill="FFFFFF"/>
              </w:rPr>
            </w:pPr>
          </w:p>
        </w:tc>
        <w:tc>
          <w:tcPr>
            <w:tcW w:w="1161"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4EA8DDAA">
            <w:pPr>
              <w:shd w:val="solid" w:color="FFFFFF" w:fill="auto"/>
              <w:autoSpaceDN w:val="0"/>
              <w:spacing w:line="360" w:lineRule="auto"/>
              <w:jc w:val="center"/>
              <w:rPr>
                <w:rFonts w:hint="eastAsia" w:ascii="宋体" w:hAnsi="宋体" w:cs="宋体"/>
                <w:sz w:val="24"/>
                <w:shd w:val="clear" w:color="auto" w:fill="FFFFFF"/>
              </w:rPr>
            </w:pPr>
          </w:p>
        </w:tc>
        <w:tc>
          <w:tcPr>
            <w:tcW w:w="126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3F4C97E0">
            <w:pPr>
              <w:shd w:val="solid" w:color="FFFFFF" w:fill="auto"/>
              <w:autoSpaceDN w:val="0"/>
              <w:spacing w:line="360" w:lineRule="auto"/>
              <w:jc w:val="center"/>
              <w:rPr>
                <w:rFonts w:hint="eastAsia" w:ascii="宋体" w:hAnsi="宋体" w:cs="宋体"/>
                <w:sz w:val="24"/>
                <w:shd w:val="clear" w:color="auto" w:fill="FFFFFF"/>
              </w:rPr>
            </w:pPr>
          </w:p>
        </w:tc>
        <w:tc>
          <w:tcPr>
            <w:tcW w:w="1651"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786B5366">
            <w:pPr>
              <w:shd w:val="solid" w:color="FFFFFF" w:fill="auto"/>
              <w:autoSpaceDN w:val="0"/>
              <w:spacing w:line="360" w:lineRule="auto"/>
              <w:jc w:val="center"/>
              <w:rPr>
                <w:rFonts w:hint="eastAsia" w:ascii="宋体" w:hAnsi="宋体" w:cs="宋体"/>
                <w:sz w:val="24"/>
                <w:shd w:val="clear" w:color="auto" w:fill="FFFFFF"/>
              </w:rPr>
            </w:pPr>
          </w:p>
        </w:tc>
        <w:tc>
          <w:tcPr>
            <w:tcW w:w="105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486B66E4">
            <w:pPr>
              <w:shd w:val="solid" w:color="FFFFFF" w:fill="auto"/>
              <w:autoSpaceDN w:val="0"/>
              <w:spacing w:line="360" w:lineRule="auto"/>
              <w:jc w:val="center"/>
              <w:rPr>
                <w:rFonts w:hint="eastAsia" w:ascii="宋体" w:hAnsi="宋体" w:cs="宋体"/>
                <w:sz w:val="24"/>
                <w:shd w:val="clear" w:color="auto" w:fill="FFFFFF"/>
              </w:rPr>
            </w:pPr>
          </w:p>
        </w:tc>
      </w:tr>
      <w:tr w14:paraId="39FB290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cantSplit/>
          <w:trHeight w:val="566" w:hRule="atLeast"/>
          <w:jc w:val="center"/>
        </w:trPr>
        <w:tc>
          <w:tcPr>
            <w:tcW w:w="72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36F2761A">
            <w:pPr>
              <w:pStyle w:val="14"/>
              <w:spacing w:line="360" w:lineRule="auto"/>
              <w:jc w:val="center"/>
              <w:rPr>
                <w:rFonts w:hint="eastAsia" w:ascii="宋体" w:hAnsi="宋体" w:cs="宋体"/>
                <w:sz w:val="24"/>
                <w:shd w:val="clear" w:color="auto" w:fill="FFFFFF"/>
              </w:rPr>
            </w:pPr>
            <w:r>
              <w:rPr>
                <w:rFonts w:hint="eastAsia" w:ascii="宋体" w:hAnsi="宋体" w:cs="宋体"/>
                <w:sz w:val="24"/>
                <w:szCs w:val="24"/>
              </w:rPr>
              <w:t>4</w:t>
            </w:r>
          </w:p>
        </w:tc>
        <w:tc>
          <w:tcPr>
            <w:tcW w:w="144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0EA9A754">
            <w:pPr>
              <w:shd w:val="solid" w:color="FFFFFF" w:fill="auto"/>
              <w:autoSpaceDN w:val="0"/>
              <w:spacing w:line="360" w:lineRule="auto"/>
              <w:jc w:val="center"/>
              <w:rPr>
                <w:rFonts w:hint="eastAsia" w:ascii="宋体" w:hAnsi="宋体" w:cs="宋体"/>
                <w:sz w:val="24"/>
                <w:shd w:val="clear" w:color="auto" w:fill="FFFFFF"/>
              </w:rPr>
            </w:pPr>
          </w:p>
        </w:tc>
        <w:tc>
          <w:tcPr>
            <w:tcW w:w="132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1D84F9DD">
            <w:pPr>
              <w:shd w:val="solid" w:color="FFFFFF" w:fill="auto"/>
              <w:autoSpaceDN w:val="0"/>
              <w:spacing w:line="360" w:lineRule="auto"/>
              <w:jc w:val="center"/>
              <w:rPr>
                <w:rFonts w:hint="eastAsia" w:ascii="宋体" w:hAnsi="宋体" w:cs="宋体"/>
                <w:sz w:val="24"/>
                <w:shd w:val="clear" w:color="auto" w:fill="FFFFFF"/>
              </w:rPr>
            </w:pPr>
          </w:p>
        </w:tc>
        <w:tc>
          <w:tcPr>
            <w:tcW w:w="1161"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11725D8B">
            <w:pPr>
              <w:shd w:val="solid" w:color="FFFFFF" w:fill="auto"/>
              <w:autoSpaceDN w:val="0"/>
              <w:spacing w:line="360" w:lineRule="auto"/>
              <w:jc w:val="center"/>
              <w:rPr>
                <w:rFonts w:hint="eastAsia" w:ascii="宋体" w:hAnsi="宋体" w:cs="宋体"/>
                <w:sz w:val="24"/>
                <w:shd w:val="clear" w:color="auto" w:fill="FFFFFF"/>
              </w:rPr>
            </w:pPr>
          </w:p>
        </w:tc>
        <w:tc>
          <w:tcPr>
            <w:tcW w:w="126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6B7B5132">
            <w:pPr>
              <w:shd w:val="solid" w:color="FFFFFF" w:fill="auto"/>
              <w:autoSpaceDN w:val="0"/>
              <w:spacing w:line="360" w:lineRule="auto"/>
              <w:jc w:val="center"/>
              <w:rPr>
                <w:rFonts w:hint="eastAsia" w:ascii="宋体" w:hAnsi="宋体" w:cs="宋体"/>
                <w:sz w:val="24"/>
                <w:shd w:val="clear" w:color="auto" w:fill="FFFFFF"/>
              </w:rPr>
            </w:pPr>
          </w:p>
        </w:tc>
        <w:tc>
          <w:tcPr>
            <w:tcW w:w="1651"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74E6D1BD">
            <w:pPr>
              <w:shd w:val="solid" w:color="FFFFFF" w:fill="auto"/>
              <w:autoSpaceDN w:val="0"/>
              <w:spacing w:line="360" w:lineRule="auto"/>
              <w:jc w:val="center"/>
              <w:rPr>
                <w:rFonts w:hint="eastAsia" w:ascii="宋体" w:hAnsi="宋体" w:cs="宋体"/>
                <w:sz w:val="24"/>
                <w:shd w:val="clear" w:color="auto" w:fill="FFFFFF"/>
              </w:rPr>
            </w:pPr>
          </w:p>
        </w:tc>
        <w:tc>
          <w:tcPr>
            <w:tcW w:w="105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56093320">
            <w:pPr>
              <w:shd w:val="solid" w:color="FFFFFF" w:fill="auto"/>
              <w:autoSpaceDN w:val="0"/>
              <w:spacing w:line="360" w:lineRule="auto"/>
              <w:jc w:val="center"/>
              <w:rPr>
                <w:rFonts w:hint="eastAsia" w:ascii="宋体" w:hAnsi="宋体" w:cs="宋体"/>
                <w:sz w:val="24"/>
                <w:shd w:val="clear" w:color="auto" w:fill="FFFFFF"/>
              </w:rPr>
            </w:pPr>
          </w:p>
        </w:tc>
      </w:tr>
      <w:tr w14:paraId="1F3AF2D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cantSplit/>
          <w:trHeight w:val="566" w:hRule="atLeast"/>
          <w:jc w:val="center"/>
        </w:trPr>
        <w:tc>
          <w:tcPr>
            <w:tcW w:w="72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736168D9">
            <w:pPr>
              <w:pStyle w:val="14"/>
              <w:spacing w:line="360" w:lineRule="auto"/>
              <w:jc w:val="center"/>
              <w:rPr>
                <w:rFonts w:hint="eastAsia" w:ascii="宋体" w:hAnsi="宋体" w:cs="宋体"/>
                <w:sz w:val="24"/>
                <w:shd w:val="clear" w:color="auto" w:fill="FFFFFF"/>
              </w:rPr>
            </w:pPr>
            <w:r>
              <w:rPr>
                <w:rFonts w:hint="eastAsia" w:ascii="宋体" w:hAnsi="宋体" w:cs="宋体"/>
                <w:sz w:val="24"/>
                <w:szCs w:val="24"/>
              </w:rPr>
              <w:t>5</w:t>
            </w:r>
          </w:p>
        </w:tc>
        <w:tc>
          <w:tcPr>
            <w:tcW w:w="144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7B004A55">
            <w:pPr>
              <w:shd w:val="solid" w:color="FFFFFF" w:fill="auto"/>
              <w:autoSpaceDN w:val="0"/>
              <w:spacing w:line="360" w:lineRule="auto"/>
              <w:jc w:val="center"/>
              <w:rPr>
                <w:rFonts w:hint="eastAsia" w:ascii="宋体" w:hAnsi="宋体" w:cs="宋体"/>
                <w:sz w:val="24"/>
                <w:shd w:val="clear" w:color="auto" w:fill="FFFFFF"/>
              </w:rPr>
            </w:pPr>
          </w:p>
        </w:tc>
        <w:tc>
          <w:tcPr>
            <w:tcW w:w="132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5530A8AC">
            <w:pPr>
              <w:shd w:val="solid" w:color="FFFFFF" w:fill="auto"/>
              <w:autoSpaceDN w:val="0"/>
              <w:spacing w:line="360" w:lineRule="auto"/>
              <w:jc w:val="center"/>
              <w:rPr>
                <w:rFonts w:hint="eastAsia" w:ascii="宋体" w:hAnsi="宋体" w:cs="宋体"/>
                <w:sz w:val="24"/>
                <w:shd w:val="clear" w:color="auto" w:fill="FFFFFF"/>
              </w:rPr>
            </w:pPr>
          </w:p>
        </w:tc>
        <w:tc>
          <w:tcPr>
            <w:tcW w:w="1161"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46C3A9D2">
            <w:pPr>
              <w:shd w:val="solid" w:color="FFFFFF" w:fill="auto"/>
              <w:autoSpaceDN w:val="0"/>
              <w:spacing w:line="360" w:lineRule="auto"/>
              <w:jc w:val="center"/>
              <w:rPr>
                <w:rFonts w:hint="eastAsia" w:ascii="宋体" w:hAnsi="宋体" w:cs="宋体"/>
                <w:sz w:val="24"/>
                <w:shd w:val="clear" w:color="auto" w:fill="FFFFFF"/>
              </w:rPr>
            </w:pPr>
          </w:p>
        </w:tc>
        <w:tc>
          <w:tcPr>
            <w:tcW w:w="126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5B56C73C">
            <w:pPr>
              <w:shd w:val="solid" w:color="FFFFFF" w:fill="auto"/>
              <w:autoSpaceDN w:val="0"/>
              <w:spacing w:line="360" w:lineRule="auto"/>
              <w:jc w:val="center"/>
              <w:rPr>
                <w:rFonts w:hint="eastAsia" w:ascii="宋体" w:hAnsi="宋体" w:cs="宋体"/>
                <w:sz w:val="24"/>
                <w:shd w:val="clear" w:color="auto" w:fill="FFFFFF"/>
              </w:rPr>
            </w:pPr>
          </w:p>
        </w:tc>
        <w:tc>
          <w:tcPr>
            <w:tcW w:w="1651"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2B2642DB">
            <w:pPr>
              <w:shd w:val="solid" w:color="FFFFFF" w:fill="auto"/>
              <w:autoSpaceDN w:val="0"/>
              <w:spacing w:line="360" w:lineRule="auto"/>
              <w:jc w:val="center"/>
              <w:rPr>
                <w:rFonts w:hint="eastAsia" w:ascii="宋体" w:hAnsi="宋体" w:cs="宋体"/>
                <w:sz w:val="24"/>
                <w:shd w:val="clear" w:color="auto" w:fill="FFFFFF"/>
              </w:rPr>
            </w:pPr>
          </w:p>
        </w:tc>
        <w:tc>
          <w:tcPr>
            <w:tcW w:w="105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75DFA146">
            <w:pPr>
              <w:shd w:val="solid" w:color="FFFFFF" w:fill="auto"/>
              <w:autoSpaceDN w:val="0"/>
              <w:spacing w:line="360" w:lineRule="auto"/>
              <w:jc w:val="center"/>
              <w:rPr>
                <w:rFonts w:hint="eastAsia" w:ascii="宋体" w:hAnsi="宋体" w:cs="宋体"/>
                <w:sz w:val="24"/>
                <w:shd w:val="clear" w:color="auto" w:fill="FFFFFF"/>
              </w:rPr>
            </w:pPr>
          </w:p>
        </w:tc>
      </w:tr>
      <w:tr w14:paraId="7CF8A27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cantSplit/>
          <w:trHeight w:val="566" w:hRule="atLeast"/>
          <w:jc w:val="center"/>
        </w:trPr>
        <w:tc>
          <w:tcPr>
            <w:tcW w:w="72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3382F80D">
            <w:pPr>
              <w:pStyle w:val="14"/>
              <w:spacing w:line="360" w:lineRule="auto"/>
              <w:jc w:val="center"/>
              <w:rPr>
                <w:rFonts w:hint="eastAsia" w:ascii="宋体" w:hAnsi="宋体" w:cs="宋体"/>
                <w:sz w:val="24"/>
                <w:shd w:val="clear" w:color="auto" w:fill="FFFFFF"/>
              </w:rPr>
            </w:pPr>
            <w:r>
              <w:rPr>
                <w:rFonts w:hint="eastAsia" w:ascii="宋体" w:hAnsi="宋体" w:cs="宋体"/>
                <w:sz w:val="24"/>
                <w:szCs w:val="24"/>
              </w:rPr>
              <w:t>...</w:t>
            </w:r>
          </w:p>
        </w:tc>
        <w:tc>
          <w:tcPr>
            <w:tcW w:w="144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4272CB50">
            <w:pPr>
              <w:shd w:val="solid" w:color="FFFFFF" w:fill="auto"/>
              <w:autoSpaceDN w:val="0"/>
              <w:spacing w:line="360" w:lineRule="auto"/>
              <w:jc w:val="center"/>
              <w:rPr>
                <w:rFonts w:hint="eastAsia" w:ascii="宋体" w:hAnsi="宋体" w:cs="宋体"/>
                <w:sz w:val="24"/>
                <w:shd w:val="clear" w:color="auto" w:fill="FFFFFF"/>
              </w:rPr>
            </w:pPr>
          </w:p>
        </w:tc>
        <w:tc>
          <w:tcPr>
            <w:tcW w:w="132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48EE8591">
            <w:pPr>
              <w:shd w:val="solid" w:color="FFFFFF" w:fill="auto"/>
              <w:autoSpaceDN w:val="0"/>
              <w:spacing w:line="360" w:lineRule="auto"/>
              <w:jc w:val="center"/>
              <w:rPr>
                <w:rFonts w:hint="eastAsia" w:ascii="宋体" w:hAnsi="宋体" w:cs="宋体"/>
                <w:sz w:val="24"/>
                <w:shd w:val="clear" w:color="auto" w:fill="FFFFFF"/>
              </w:rPr>
            </w:pPr>
          </w:p>
        </w:tc>
        <w:tc>
          <w:tcPr>
            <w:tcW w:w="1161"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0186ECC9">
            <w:pPr>
              <w:shd w:val="solid" w:color="FFFFFF" w:fill="auto"/>
              <w:autoSpaceDN w:val="0"/>
              <w:spacing w:line="360" w:lineRule="auto"/>
              <w:jc w:val="center"/>
              <w:rPr>
                <w:rFonts w:hint="eastAsia" w:ascii="宋体" w:hAnsi="宋体" w:cs="宋体"/>
                <w:sz w:val="24"/>
                <w:shd w:val="clear" w:color="auto" w:fill="FFFFFF"/>
              </w:rPr>
            </w:pPr>
          </w:p>
        </w:tc>
        <w:tc>
          <w:tcPr>
            <w:tcW w:w="126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30369E15">
            <w:pPr>
              <w:shd w:val="solid" w:color="FFFFFF" w:fill="auto"/>
              <w:autoSpaceDN w:val="0"/>
              <w:spacing w:line="360" w:lineRule="auto"/>
              <w:jc w:val="center"/>
              <w:rPr>
                <w:rFonts w:hint="eastAsia" w:ascii="宋体" w:hAnsi="宋体" w:cs="宋体"/>
                <w:sz w:val="24"/>
                <w:shd w:val="clear" w:color="auto" w:fill="FFFFFF"/>
              </w:rPr>
            </w:pPr>
          </w:p>
        </w:tc>
        <w:tc>
          <w:tcPr>
            <w:tcW w:w="1651"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3A5B54E9">
            <w:pPr>
              <w:shd w:val="solid" w:color="FFFFFF" w:fill="auto"/>
              <w:autoSpaceDN w:val="0"/>
              <w:spacing w:line="360" w:lineRule="auto"/>
              <w:jc w:val="center"/>
              <w:rPr>
                <w:rFonts w:hint="eastAsia" w:ascii="宋体" w:hAnsi="宋体" w:cs="宋体"/>
                <w:sz w:val="24"/>
                <w:shd w:val="clear" w:color="auto" w:fill="FFFFFF"/>
              </w:rPr>
            </w:pPr>
          </w:p>
        </w:tc>
        <w:tc>
          <w:tcPr>
            <w:tcW w:w="1050" w:type="dxa"/>
            <w:tcBorders>
              <w:top w:val="single" w:color="auto" w:sz="4" w:space="0"/>
              <w:left w:val="single" w:color="auto" w:sz="4" w:space="0"/>
              <w:bottom w:val="single" w:color="auto" w:sz="4" w:space="0"/>
              <w:right w:val="single" w:color="auto" w:sz="4" w:space="0"/>
            </w:tcBorders>
            <w:shd w:val="solid" w:color="FFFFFF" w:fill="auto"/>
            <w:tcMar>
              <w:top w:w="0" w:type="dxa"/>
              <w:left w:w="54" w:type="dxa"/>
              <w:bottom w:w="0" w:type="dxa"/>
              <w:right w:w="54" w:type="dxa"/>
            </w:tcMar>
            <w:vAlign w:val="center"/>
          </w:tcPr>
          <w:p w14:paraId="5CD54659">
            <w:pPr>
              <w:shd w:val="solid" w:color="FFFFFF" w:fill="auto"/>
              <w:autoSpaceDN w:val="0"/>
              <w:spacing w:line="360" w:lineRule="auto"/>
              <w:jc w:val="center"/>
              <w:rPr>
                <w:rFonts w:hint="eastAsia" w:ascii="宋体" w:hAnsi="宋体" w:cs="宋体"/>
                <w:sz w:val="24"/>
                <w:shd w:val="clear" w:color="auto" w:fill="FFFFFF"/>
              </w:rPr>
            </w:pPr>
          </w:p>
        </w:tc>
      </w:tr>
    </w:tbl>
    <w:p w14:paraId="697CA848">
      <w:pPr>
        <w:shd w:val="solid" w:color="FFFFFF" w:fill="auto"/>
        <w:autoSpaceDN w:val="0"/>
        <w:spacing w:line="360" w:lineRule="auto"/>
        <w:ind w:firstLine="480"/>
        <w:rPr>
          <w:rFonts w:hint="eastAsia" w:ascii="宋体" w:hAnsi="宋体" w:cs="宋体"/>
          <w:b/>
          <w:bCs/>
          <w:sz w:val="24"/>
          <w:shd w:val="clear" w:color="auto" w:fill="FFFFFF"/>
        </w:rPr>
      </w:pPr>
      <w:r>
        <w:rPr>
          <w:rFonts w:hint="eastAsia" w:ascii="宋体" w:hAnsi="宋体" w:cs="宋体"/>
          <w:b/>
          <w:bCs/>
          <w:sz w:val="24"/>
          <w:shd w:val="clear" w:color="auto" w:fill="FFFFFF"/>
        </w:rPr>
        <w:t>附：合同扫描件或复印件。</w:t>
      </w:r>
      <w:r>
        <w:rPr>
          <w:rFonts w:hint="eastAsia" w:ascii="宋体" w:hAnsi="宋体" w:cs="宋体"/>
          <w:b/>
          <w:bCs/>
          <w:sz w:val="24"/>
          <w:shd w:val="clear" w:color="auto" w:fill="FFFFFF"/>
          <w:lang w:val="zh-CN"/>
        </w:rPr>
        <w:t>所提供的合同需包含合同首页、</w:t>
      </w:r>
      <w:r>
        <w:rPr>
          <w:rFonts w:hint="eastAsia" w:ascii="宋体" w:hAnsi="宋体" w:cs="宋体"/>
          <w:b/>
          <w:bCs/>
          <w:sz w:val="24"/>
          <w:shd w:val="clear" w:color="auto" w:fill="FFFFFF"/>
        </w:rPr>
        <w:t>合同标的内容页</w:t>
      </w:r>
      <w:r>
        <w:rPr>
          <w:rFonts w:hint="eastAsia" w:ascii="宋体" w:hAnsi="宋体" w:cs="宋体"/>
          <w:b/>
          <w:bCs/>
          <w:sz w:val="24"/>
          <w:shd w:val="clear" w:color="auto" w:fill="FFFFFF"/>
          <w:lang w:val="zh-CN"/>
        </w:rPr>
        <w:t>、</w:t>
      </w:r>
      <w:r>
        <w:rPr>
          <w:rFonts w:hint="eastAsia" w:ascii="宋体" w:hAnsi="宋体" w:cs="宋体"/>
          <w:b/>
          <w:bCs/>
          <w:sz w:val="24"/>
          <w:shd w:val="clear" w:color="auto" w:fill="FFFFFF"/>
        </w:rPr>
        <w:t>签字盖章页。其中合同首页与合同标的内容页同属一页的，只需提供一页即可。</w:t>
      </w:r>
    </w:p>
    <w:p w14:paraId="6E50CD43">
      <w:pPr>
        <w:pStyle w:val="6"/>
        <w:spacing w:line="360" w:lineRule="auto"/>
        <w:rPr>
          <w:rFonts w:hint="eastAsia" w:ascii="宋体" w:hAnsi="宋体" w:cs="宋体"/>
        </w:rPr>
      </w:pPr>
    </w:p>
    <w:p w14:paraId="2CDF6DE4">
      <w:pPr>
        <w:pStyle w:val="6"/>
        <w:spacing w:line="360" w:lineRule="auto"/>
        <w:rPr>
          <w:rFonts w:hint="eastAsia" w:ascii="宋体" w:hAnsi="宋体" w:cs="宋体"/>
          <w:b/>
          <w:sz w:val="24"/>
        </w:rPr>
      </w:pPr>
    </w:p>
    <w:p w14:paraId="128782B2">
      <w:pPr>
        <w:spacing w:line="360" w:lineRule="auto"/>
        <w:rPr>
          <w:rFonts w:hint="eastAsia" w:ascii="宋体" w:hAnsi="宋体" w:cs="宋体"/>
          <w:b/>
          <w:sz w:val="24"/>
        </w:rPr>
      </w:pPr>
    </w:p>
    <w:p w14:paraId="73ADA959">
      <w:pPr>
        <w:shd w:val="solid" w:color="FFFFFF" w:fill="auto"/>
        <w:autoSpaceDN w:val="0"/>
        <w:spacing w:line="360" w:lineRule="auto"/>
        <w:jc w:val="left"/>
        <w:rPr>
          <w:rFonts w:hint="eastAsia" w:ascii="宋体" w:hAnsi="宋体" w:cs="宋体"/>
          <w:sz w:val="24"/>
          <w:shd w:val="clear" w:color="auto" w:fill="FFFFFF"/>
        </w:rPr>
      </w:pPr>
      <w:r>
        <w:rPr>
          <w:rFonts w:hint="eastAsia" w:ascii="宋体" w:hAnsi="宋体" w:cs="宋体"/>
          <w:sz w:val="24"/>
        </w:rPr>
        <w:t xml:space="preserve"> </w:t>
      </w:r>
      <w:r>
        <w:rPr>
          <w:rFonts w:hint="eastAsia" w:ascii="宋体" w:hAnsi="宋体" w:cs="宋体"/>
          <w:sz w:val="24"/>
          <w:shd w:val="clear" w:color="auto" w:fill="FFFFFF"/>
        </w:rPr>
        <w:t>投标人</w:t>
      </w:r>
      <w:r>
        <w:rPr>
          <w:rFonts w:hint="eastAsia" w:ascii="宋体" w:hAnsi="宋体" w:cs="宋体"/>
          <w:sz w:val="24"/>
        </w:rPr>
        <w:t>：</w:t>
      </w:r>
      <w:r>
        <w:rPr>
          <w:rFonts w:hint="eastAsia" w:ascii="宋体" w:hAnsi="宋体" w:cs="宋体"/>
          <w:sz w:val="24"/>
          <w:u w:val="single"/>
        </w:rPr>
        <w:t xml:space="preserve">      （投标人全称）      </w:t>
      </w:r>
      <w:r>
        <w:rPr>
          <w:rFonts w:hint="eastAsia" w:ascii="宋体" w:hAnsi="宋体" w:cs="宋体"/>
          <w:sz w:val="24"/>
        </w:rPr>
        <w:t>（电子签章）</w:t>
      </w:r>
    </w:p>
    <w:p w14:paraId="6846AE7F">
      <w:pPr>
        <w:shd w:val="solid" w:color="FFFFFF" w:fill="auto"/>
        <w:autoSpaceDN w:val="0"/>
        <w:spacing w:line="360" w:lineRule="auto"/>
        <w:jc w:val="left"/>
        <w:rPr>
          <w:rFonts w:hint="eastAsia" w:ascii="宋体" w:hAnsi="宋体" w:cs="宋体"/>
          <w:sz w:val="24"/>
          <w:shd w:val="clear" w:color="auto" w:fill="FFFFFF"/>
        </w:rPr>
      </w:pPr>
      <w:r>
        <w:rPr>
          <w:rFonts w:hint="eastAsia" w:ascii="宋体" w:hAnsi="宋体" w:cs="宋体"/>
          <w:sz w:val="24"/>
          <w:shd w:val="clear" w:color="auto" w:fill="FFFFFF"/>
        </w:rPr>
        <w:t xml:space="preserve"> 法定代表人或其委托代理人：</w:t>
      </w:r>
      <w:r>
        <w:rPr>
          <w:rFonts w:hint="eastAsia" w:ascii="宋体" w:hAnsi="宋体" w:cs="宋体"/>
          <w:sz w:val="24"/>
          <w:u w:val="single"/>
          <w:shd w:val="clear" w:color="auto" w:fill="FFFFFF"/>
        </w:rPr>
        <w:t xml:space="preserve">　               </w:t>
      </w:r>
      <w:r>
        <w:rPr>
          <w:rFonts w:hint="eastAsia" w:ascii="宋体" w:hAnsi="宋体" w:cs="宋体"/>
          <w:sz w:val="24"/>
          <w:shd w:val="clear" w:color="auto" w:fill="FFFFFF"/>
        </w:rPr>
        <w:t>（电子签章或电子签名）</w:t>
      </w:r>
    </w:p>
    <w:p w14:paraId="7AA11F04">
      <w:pPr>
        <w:pStyle w:val="6"/>
        <w:spacing w:line="360" w:lineRule="auto"/>
        <w:rPr>
          <w:rFonts w:hint="eastAsia" w:ascii="宋体" w:hAnsi="宋体" w:cs="宋体"/>
          <w:sz w:val="24"/>
        </w:rPr>
      </w:pPr>
      <w:r>
        <w:rPr>
          <w:rFonts w:hint="eastAsia" w:ascii="宋体" w:hAnsi="宋体" w:cs="宋体"/>
          <w:sz w:val="24"/>
        </w:rPr>
        <w:t xml:space="preserve"> 日期：</w:t>
      </w:r>
      <w:r>
        <w:rPr>
          <w:rFonts w:hint="eastAsia" w:ascii="宋体" w:hAnsi="宋体" w:cs="宋体"/>
          <w:sz w:val="24"/>
          <w:u w:val="single"/>
          <w:shd w:val="clear" w:color="auto" w:fill="FFFFFF"/>
        </w:rPr>
        <w:t xml:space="preserve">　    </w:t>
      </w:r>
      <w:r>
        <w:rPr>
          <w:rFonts w:hint="eastAsia" w:ascii="宋体" w:hAnsi="宋体" w:cs="宋体"/>
          <w:sz w:val="24"/>
        </w:rPr>
        <w:t>年</w:t>
      </w:r>
      <w:r>
        <w:rPr>
          <w:rFonts w:hint="eastAsia" w:ascii="宋体" w:hAnsi="宋体" w:cs="宋体"/>
          <w:sz w:val="24"/>
          <w:u w:val="single"/>
          <w:shd w:val="clear" w:color="auto" w:fill="FFFFFF"/>
        </w:rPr>
        <w:t xml:space="preserve">　    </w:t>
      </w:r>
      <w:r>
        <w:rPr>
          <w:rFonts w:hint="eastAsia" w:ascii="宋体" w:hAnsi="宋体" w:cs="宋体"/>
          <w:sz w:val="24"/>
        </w:rPr>
        <w:t>月</w:t>
      </w:r>
      <w:r>
        <w:rPr>
          <w:rFonts w:hint="eastAsia" w:ascii="宋体" w:hAnsi="宋体" w:cs="宋体"/>
          <w:sz w:val="24"/>
          <w:u w:val="single"/>
          <w:shd w:val="clear" w:color="auto" w:fill="FFFFFF"/>
        </w:rPr>
        <w:t xml:space="preserve">　    </w:t>
      </w:r>
      <w:r>
        <w:rPr>
          <w:rFonts w:hint="eastAsia" w:ascii="宋体" w:hAnsi="宋体" w:cs="宋体"/>
          <w:sz w:val="24"/>
        </w:rPr>
        <w:t>日</w:t>
      </w:r>
    </w:p>
    <w:p w14:paraId="122FD757">
      <w:pPr>
        <w:spacing w:line="360" w:lineRule="auto"/>
        <w:rPr>
          <w:rFonts w:hint="eastAsia" w:ascii="宋体" w:hAnsi="宋体" w:cs="宋体"/>
          <w:sz w:val="24"/>
        </w:rPr>
      </w:pPr>
    </w:p>
    <w:p w14:paraId="5064D3E2">
      <w:pPr>
        <w:spacing w:line="360" w:lineRule="auto"/>
        <w:jc w:val="center"/>
        <w:rPr>
          <w:rFonts w:hint="eastAsia" w:ascii="宋体" w:hAnsi="宋体" w:cs="宋体"/>
        </w:rPr>
      </w:pPr>
      <w:r>
        <w:rPr>
          <w:rFonts w:hint="eastAsia" w:ascii="宋体" w:hAnsi="宋体" w:cs="宋体"/>
        </w:rPr>
        <w:br w:type="page"/>
      </w:r>
      <w:bookmarkStart w:id="213" w:name="_Toc12712"/>
      <w:bookmarkStart w:id="214" w:name="_Toc28900"/>
      <w:bookmarkStart w:id="215" w:name="_Toc32285"/>
      <w:bookmarkStart w:id="216" w:name="_Toc1682"/>
      <w:r>
        <w:rPr>
          <w:rFonts w:hint="eastAsia" w:ascii="宋体" w:hAnsi="宋体" w:cs="宋体"/>
          <w:b/>
          <w:sz w:val="32"/>
          <w:szCs w:val="32"/>
          <w:shd w:val="clear" w:color="auto" w:fill="FFFFFF"/>
        </w:rPr>
        <w:t>九、其它资料</w:t>
      </w:r>
      <w:bookmarkEnd w:id="213"/>
      <w:bookmarkEnd w:id="214"/>
      <w:bookmarkEnd w:id="215"/>
      <w:bookmarkEnd w:id="216"/>
    </w:p>
    <w:p w14:paraId="4721768B">
      <w:pPr>
        <w:spacing w:line="360" w:lineRule="auto"/>
        <w:rPr>
          <w:rFonts w:hint="eastAsia" w:ascii="宋体" w:hAnsi="宋体" w:cs="宋体"/>
          <w:b/>
          <w:bCs/>
          <w:sz w:val="24"/>
        </w:rPr>
      </w:pPr>
    </w:p>
    <w:p w14:paraId="69CD8C7C">
      <w:pPr>
        <w:spacing w:line="360" w:lineRule="auto"/>
        <w:jc w:val="center"/>
        <w:rPr>
          <w:rFonts w:hint="eastAsia" w:ascii="宋体" w:hAnsi="宋体" w:cs="宋体"/>
          <w:b/>
          <w:bCs/>
          <w:sz w:val="24"/>
        </w:rPr>
      </w:pPr>
      <w:r>
        <w:rPr>
          <w:rFonts w:hint="eastAsia" w:ascii="宋体" w:hAnsi="宋体" w:cs="宋体"/>
          <w:b/>
          <w:bCs/>
          <w:sz w:val="24"/>
        </w:rPr>
        <w:t>（一）履约承诺书</w:t>
      </w:r>
    </w:p>
    <w:p w14:paraId="0D9350A9">
      <w:pPr>
        <w:shd w:val="solid" w:color="FFFFFF" w:fill="auto"/>
        <w:autoSpaceDN w:val="0"/>
        <w:spacing w:line="360" w:lineRule="auto"/>
        <w:jc w:val="left"/>
        <w:rPr>
          <w:rFonts w:hint="eastAsia" w:ascii="宋体" w:hAnsi="宋体" w:cs="宋体"/>
          <w:b/>
          <w:bCs/>
          <w:sz w:val="24"/>
          <w:shd w:val="clear" w:color="auto" w:fill="FFFFFF"/>
        </w:rPr>
      </w:pPr>
      <w:r>
        <w:rPr>
          <w:rFonts w:hint="eastAsia" w:ascii="宋体" w:hAnsi="宋体" w:cs="宋体"/>
          <w:b/>
          <w:bCs/>
          <w:sz w:val="24"/>
          <w:shd w:val="clear" w:color="auto" w:fill="FFFFFF"/>
        </w:rPr>
        <w:t>我单位承诺：</w:t>
      </w:r>
    </w:p>
    <w:p w14:paraId="678A0E2D">
      <w:pPr>
        <w:shd w:val="solid" w:color="FFFFFF" w:fill="auto"/>
        <w:autoSpaceDN w:val="0"/>
        <w:spacing w:line="360" w:lineRule="auto"/>
        <w:jc w:val="left"/>
        <w:rPr>
          <w:rFonts w:hint="eastAsia" w:ascii="宋体" w:hAnsi="宋体" w:cs="宋体"/>
          <w:sz w:val="24"/>
          <w:shd w:val="clear" w:color="auto" w:fill="FFFFFF"/>
        </w:rPr>
      </w:pPr>
      <w:r>
        <w:rPr>
          <w:rFonts w:hint="eastAsia" w:ascii="宋体" w:hAnsi="宋体" w:cs="宋体"/>
          <w:sz w:val="24"/>
          <w:shd w:val="clear" w:color="auto" w:fill="FFFFFF"/>
        </w:rPr>
        <w:t>（1）我单位已详细阅读并完全理解、同意《招标文件》的全部内容，包括修改补充文件以及全部参考资料和有关附件；除我单位在《招标文件》规定期间内书面提出的疑问外，我单位放弃对这方面不明及误解的权利，并严格按采购单位确定的技术及商务要求等履行。</w:t>
      </w:r>
    </w:p>
    <w:p w14:paraId="364EC9B0">
      <w:pPr>
        <w:shd w:val="solid" w:color="FFFFFF" w:fill="auto"/>
        <w:autoSpaceDN w:val="0"/>
        <w:spacing w:line="360" w:lineRule="auto"/>
        <w:jc w:val="left"/>
        <w:rPr>
          <w:rFonts w:hint="eastAsia" w:ascii="宋体" w:hAnsi="宋体" w:cs="宋体"/>
          <w:sz w:val="24"/>
          <w:shd w:val="clear" w:color="auto" w:fill="FFFFFF"/>
        </w:rPr>
      </w:pPr>
      <w:r>
        <w:rPr>
          <w:rFonts w:hint="eastAsia" w:ascii="宋体" w:hAnsi="宋体" w:cs="宋体"/>
          <w:sz w:val="24"/>
          <w:shd w:val="clear" w:color="auto" w:fill="FFFFFF"/>
        </w:rPr>
        <w:t>（2）我单位在开标前已详细了解招标内容，并按采购单位条件及要求编制投标报价；我单位的投标报价包括《招标文件》所述报价组成的所有内容、并包括《招标文件》未列明而完成本项目所必须的所有设备、材料、工具、费用等达到交付使用及验收条件的所有一切风险、责任和义务的费用。我单位确认本次投标报价未低于成本价，保证按《招标文件》要求及投标承诺的质量诚信履约。</w:t>
      </w:r>
    </w:p>
    <w:p w14:paraId="079C29A7">
      <w:pPr>
        <w:shd w:val="solid" w:color="FFFFFF" w:fill="auto"/>
        <w:autoSpaceDN w:val="0"/>
        <w:spacing w:line="360" w:lineRule="auto"/>
        <w:jc w:val="left"/>
        <w:rPr>
          <w:rFonts w:hint="eastAsia" w:ascii="宋体" w:hAnsi="宋体" w:cs="宋体"/>
          <w:sz w:val="24"/>
          <w:shd w:val="clear" w:color="auto" w:fill="FFFFFF"/>
        </w:rPr>
      </w:pPr>
      <w:r>
        <w:rPr>
          <w:rFonts w:hint="eastAsia" w:ascii="宋体" w:hAnsi="宋体" w:cs="宋体"/>
          <w:sz w:val="24"/>
          <w:shd w:val="clear" w:color="auto" w:fill="FFFFFF"/>
        </w:rPr>
        <w:t>（3）我单位保证在《招标文件》要求及承诺的时间内按期、保质完成中标项目。如我单位中标，将在中标结果公告后，积极、主动地与采购单位联系合同签订事宜，合同签订中如有任何问题，我单位保证及时书面反映情况，否则视为我单位责任、按违约处理。</w:t>
      </w:r>
    </w:p>
    <w:p w14:paraId="0CF68E70">
      <w:pPr>
        <w:shd w:val="solid" w:color="FFFFFF" w:fill="auto"/>
        <w:autoSpaceDN w:val="0"/>
        <w:spacing w:line="360" w:lineRule="auto"/>
        <w:jc w:val="left"/>
        <w:rPr>
          <w:rFonts w:hint="eastAsia" w:ascii="宋体" w:hAnsi="宋体" w:cs="宋体"/>
          <w:sz w:val="24"/>
          <w:shd w:val="clear" w:color="auto" w:fill="FFFFFF"/>
        </w:rPr>
      </w:pPr>
      <w:r>
        <w:rPr>
          <w:rFonts w:hint="eastAsia" w:ascii="宋体" w:hAnsi="宋体" w:cs="宋体"/>
          <w:sz w:val="24"/>
          <w:shd w:val="clear" w:color="auto" w:fill="FFFFFF"/>
        </w:rPr>
        <w:t>（4）除法律规定的不可抗力因素外，我单位中标后以任何理由（包括违背上述承诺的事项）提出不能满足《招标文件》技术、服务等要求或不能实现投标承诺的或提出变更的，我单位将无条件接受违约处理、并放弃我单位中标资格。我单位知悉违约责任及其处理，并无条件接受：不退还投标保证金，情节严重的，由财政部门列入不良行为记录名单，在一至三年内禁止参加本单位政府采购活动，并予以通报，处以罚金，给采购单位及他人造成损失的，承担相应的赔偿责任。</w:t>
      </w:r>
    </w:p>
    <w:p w14:paraId="69C31CF3">
      <w:pPr>
        <w:spacing w:line="360" w:lineRule="auto"/>
        <w:ind w:firstLine="512" w:firstLineChars="200"/>
        <w:rPr>
          <w:rFonts w:hint="eastAsia" w:ascii="宋体" w:hAnsi="宋体" w:cs="宋体"/>
          <w:spacing w:val="8"/>
          <w:sz w:val="24"/>
        </w:rPr>
      </w:pPr>
    </w:p>
    <w:p w14:paraId="7D3A944E">
      <w:pPr>
        <w:shd w:val="solid" w:color="FFFFFF" w:fill="auto"/>
        <w:autoSpaceDN w:val="0"/>
        <w:spacing w:line="360" w:lineRule="auto"/>
        <w:jc w:val="left"/>
        <w:rPr>
          <w:rFonts w:hint="eastAsia" w:ascii="宋体" w:hAnsi="宋体" w:cs="宋体"/>
          <w:sz w:val="24"/>
          <w:shd w:val="clear" w:color="auto" w:fill="FFFFFF"/>
        </w:rPr>
      </w:pPr>
      <w:r>
        <w:rPr>
          <w:rFonts w:hint="eastAsia" w:ascii="宋体" w:hAnsi="宋体" w:cs="宋体"/>
          <w:sz w:val="24"/>
          <w:shd w:val="clear" w:color="auto" w:fill="FFFFFF"/>
        </w:rPr>
        <w:t>投标人</w:t>
      </w:r>
      <w:r>
        <w:rPr>
          <w:rFonts w:hint="eastAsia" w:ascii="宋体" w:hAnsi="宋体" w:cs="宋体"/>
          <w:sz w:val="24"/>
        </w:rPr>
        <w:t>：</w:t>
      </w:r>
      <w:r>
        <w:rPr>
          <w:rFonts w:hint="eastAsia" w:ascii="宋体" w:hAnsi="宋体" w:cs="宋体"/>
          <w:sz w:val="24"/>
          <w:u w:val="single"/>
        </w:rPr>
        <w:t xml:space="preserve">      （投标人全称）      </w:t>
      </w:r>
      <w:r>
        <w:rPr>
          <w:rFonts w:hint="eastAsia" w:ascii="宋体" w:hAnsi="宋体" w:cs="宋体"/>
          <w:sz w:val="24"/>
        </w:rPr>
        <w:t>（电子签章）</w:t>
      </w:r>
    </w:p>
    <w:p w14:paraId="4B58621B">
      <w:pPr>
        <w:shd w:val="solid" w:color="FFFFFF" w:fill="auto"/>
        <w:autoSpaceDN w:val="0"/>
        <w:spacing w:line="360" w:lineRule="auto"/>
        <w:jc w:val="left"/>
        <w:rPr>
          <w:rFonts w:hint="eastAsia" w:ascii="宋体" w:hAnsi="宋体" w:cs="宋体"/>
          <w:sz w:val="24"/>
          <w:shd w:val="clear" w:color="auto" w:fill="FFFFFF"/>
        </w:rPr>
      </w:pPr>
      <w:r>
        <w:rPr>
          <w:rFonts w:hint="eastAsia" w:ascii="宋体" w:hAnsi="宋体" w:cs="宋体"/>
          <w:sz w:val="24"/>
          <w:shd w:val="clear" w:color="auto" w:fill="FFFFFF"/>
        </w:rPr>
        <w:t xml:space="preserve"> 法定代表人或其委托代理人：</w:t>
      </w:r>
      <w:r>
        <w:rPr>
          <w:rFonts w:hint="eastAsia" w:ascii="宋体" w:hAnsi="宋体" w:cs="宋体"/>
          <w:sz w:val="24"/>
          <w:u w:val="single"/>
          <w:shd w:val="clear" w:color="auto" w:fill="FFFFFF"/>
        </w:rPr>
        <w:t xml:space="preserve">　               </w:t>
      </w:r>
      <w:r>
        <w:rPr>
          <w:rFonts w:hint="eastAsia" w:ascii="宋体" w:hAnsi="宋体" w:cs="宋体"/>
          <w:sz w:val="24"/>
          <w:shd w:val="clear" w:color="auto" w:fill="FFFFFF"/>
        </w:rPr>
        <w:t>（电子签章或电子签名）</w:t>
      </w:r>
    </w:p>
    <w:p w14:paraId="18B883B2">
      <w:pPr>
        <w:pStyle w:val="6"/>
        <w:spacing w:line="360" w:lineRule="auto"/>
        <w:rPr>
          <w:rFonts w:hint="eastAsia" w:ascii="宋体" w:hAnsi="宋体" w:cs="宋体"/>
          <w:sz w:val="24"/>
        </w:rPr>
      </w:pPr>
      <w:r>
        <w:rPr>
          <w:rFonts w:hint="eastAsia" w:ascii="宋体" w:hAnsi="宋体" w:cs="宋体"/>
          <w:sz w:val="24"/>
        </w:rPr>
        <w:t xml:space="preserve"> 日期：</w:t>
      </w:r>
      <w:r>
        <w:rPr>
          <w:rFonts w:hint="eastAsia" w:ascii="宋体" w:hAnsi="宋体" w:cs="宋体"/>
          <w:sz w:val="24"/>
          <w:u w:val="single"/>
          <w:shd w:val="clear" w:color="auto" w:fill="FFFFFF"/>
        </w:rPr>
        <w:t xml:space="preserve">　    </w:t>
      </w:r>
      <w:r>
        <w:rPr>
          <w:rFonts w:hint="eastAsia" w:ascii="宋体" w:hAnsi="宋体" w:cs="宋体"/>
          <w:sz w:val="24"/>
        </w:rPr>
        <w:t>年</w:t>
      </w:r>
      <w:r>
        <w:rPr>
          <w:rFonts w:hint="eastAsia" w:ascii="宋体" w:hAnsi="宋体" w:cs="宋体"/>
          <w:sz w:val="24"/>
          <w:u w:val="single"/>
          <w:shd w:val="clear" w:color="auto" w:fill="FFFFFF"/>
        </w:rPr>
        <w:t xml:space="preserve">　    </w:t>
      </w:r>
      <w:r>
        <w:rPr>
          <w:rFonts w:hint="eastAsia" w:ascii="宋体" w:hAnsi="宋体" w:cs="宋体"/>
          <w:sz w:val="24"/>
        </w:rPr>
        <w:t>月</w:t>
      </w:r>
      <w:r>
        <w:rPr>
          <w:rFonts w:hint="eastAsia" w:ascii="宋体" w:hAnsi="宋体" w:cs="宋体"/>
          <w:sz w:val="24"/>
          <w:u w:val="single"/>
          <w:shd w:val="clear" w:color="auto" w:fill="FFFFFF"/>
        </w:rPr>
        <w:t xml:space="preserve">　    </w:t>
      </w:r>
      <w:r>
        <w:rPr>
          <w:rFonts w:hint="eastAsia" w:ascii="宋体" w:hAnsi="宋体" w:cs="宋体"/>
          <w:sz w:val="24"/>
        </w:rPr>
        <w:t>日</w:t>
      </w:r>
    </w:p>
    <w:p w14:paraId="79A10DFD">
      <w:pPr>
        <w:spacing w:line="360" w:lineRule="auto"/>
        <w:rPr>
          <w:rFonts w:hint="eastAsia" w:ascii="宋体" w:hAnsi="宋体" w:cs="宋体"/>
          <w:b/>
          <w:bCs/>
          <w:sz w:val="24"/>
        </w:rPr>
      </w:pPr>
      <w:r>
        <w:rPr>
          <w:rFonts w:hint="eastAsia" w:ascii="宋体" w:hAnsi="宋体" w:cs="宋体"/>
          <w:b/>
          <w:bCs/>
          <w:sz w:val="24"/>
        </w:rPr>
        <w:br w:type="page"/>
      </w:r>
    </w:p>
    <w:p w14:paraId="32A2AA4F">
      <w:pPr>
        <w:spacing w:line="360" w:lineRule="auto"/>
        <w:jc w:val="center"/>
        <w:rPr>
          <w:rFonts w:hint="eastAsia" w:ascii="宋体" w:hAnsi="宋体" w:cs="宋体"/>
          <w:b/>
          <w:bCs/>
          <w:sz w:val="24"/>
        </w:rPr>
      </w:pPr>
      <w:r>
        <w:rPr>
          <w:rFonts w:hint="eastAsia" w:ascii="宋体" w:hAnsi="宋体" w:cs="宋体"/>
          <w:b/>
          <w:bCs/>
          <w:sz w:val="24"/>
        </w:rPr>
        <w:t>（二）所投产品必须是符合国家有关规范和环保要求的正规合格产品，质量达到国家有关标准，保证供货产品知识产权合法且厂家经销权合法。投标人保证向招标人供应交易标的物，不存在侵犯第三方知识产权权利情形，包括不得侵犯他人商标权、专利权及著作权（版权）以及我国法律规定的其他知识产权权利及关邻权利，第三方包括权利人及授权许可人。</w:t>
      </w:r>
    </w:p>
    <w:p w14:paraId="256C54DE">
      <w:pPr>
        <w:pStyle w:val="6"/>
        <w:spacing w:line="360" w:lineRule="auto"/>
        <w:rPr>
          <w:rFonts w:hint="eastAsia" w:ascii="宋体" w:hAnsi="宋体" w:cs="宋体"/>
          <w:b/>
          <w:bCs/>
          <w:sz w:val="24"/>
        </w:rPr>
      </w:pPr>
      <w:r>
        <w:rPr>
          <w:rFonts w:hint="eastAsia" w:ascii="宋体" w:hAnsi="宋体" w:cs="宋体"/>
          <w:b/>
          <w:bCs/>
          <w:sz w:val="24"/>
        </w:rPr>
        <w:t xml:space="preserve">    </w:t>
      </w:r>
    </w:p>
    <w:p w14:paraId="48009D04">
      <w:pPr>
        <w:pStyle w:val="6"/>
        <w:spacing w:line="360" w:lineRule="auto"/>
        <w:rPr>
          <w:rFonts w:hint="eastAsia" w:ascii="宋体" w:hAnsi="宋体" w:cs="宋体"/>
          <w:b/>
          <w:bCs/>
          <w:sz w:val="24"/>
        </w:rPr>
      </w:pPr>
    </w:p>
    <w:p w14:paraId="5A949086">
      <w:pPr>
        <w:pStyle w:val="6"/>
        <w:spacing w:line="360" w:lineRule="auto"/>
        <w:jc w:val="center"/>
        <w:rPr>
          <w:rFonts w:hint="eastAsia" w:ascii="宋体" w:hAnsi="宋体" w:cs="宋体"/>
          <w:b/>
          <w:bCs/>
          <w:sz w:val="24"/>
        </w:rPr>
      </w:pPr>
      <w:r>
        <w:rPr>
          <w:rFonts w:hint="eastAsia" w:ascii="宋体" w:hAnsi="宋体" w:cs="宋体"/>
          <w:b/>
          <w:bCs/>
          <w:sz w:val="24"/>
        </w:rPr>
        <w:t>（投标人自拟格式进行承诺）</w:t>
      </w:r>
    </w:p>
    <w:p w14:paraId="10793801">
      <w:pPr>
        <w:spacing w:line="360" w:lineRule="auto"/>
        <w:rPr>
          <w:rFonts w:hint="eastAsia" w:ascii="宋体" w:hAnsi="宋体" w:cs="宋体"/>
          <w:b/>
          <w:bCs/>
          <w:sz w:val="24"/>
        </w:rPr>
      </w:pPr>
    </w:p>
    <w:p w14:paraId="1566313E">
      <w:pPr>
        <w:spacing w:line="360" w:lineRule="auto"/>
        <w:rPr>
          <w:rFonts w:hint="eastAsia" w:ascii="宋体" w:hAnsi="宋体" w:cs="宋体"/>
          <w:b/>
          <w:bCs/>
          <w:sz w:val="24"/>
        </w:rPr>
      </w:pPr>
    </w:p>
    <w:p w14:paraId="0C7BD7D1">
      <w:pPr>
        <w:spacing w:line="360" w:lineRule="auto"/>
        <w:rPr>
          <w:rFonts w:hint="eastAsia" w:ascii="宋体" w:hAnsi="宋体" w:cs="宋体"/>
          <w:b/>
          <w:bCs/>
          <w:sz w:val="24"/>
        </w:rPr>
      </w:pPr>
    </w:p>
    <w:p w14:paraId="06131A90">
      <w:pPr>
        <w:spacing w:line="360" w:lineRule="auto"/>
        <w:rPr>
          <w:rFonts w:hint="eastAsia" w:ascii="宋体" w:hAnsi="宋体" w:cs="宋体"/>
          <w:b/>
          <w:bCs/>
          <w:sz w:val="24"/>
        </w:rPr>
      </w:pPr>
      <w:r>
        <w:rPr>
          <w:rFonts w:hint="eastAsia" w:ascii="宋体" w:hAnsi="宋体" w:cs="宋体"/>
          <w:b/>
          <w:bCs/>
          <w:sz w:val="24"/>
        </w:rPr>
        <w:br w:type="page"/>
      </w:r>
    </w:p>
    <w:p w14:paraId="25EEAB2E">
      <w:pPr>
        <w:spacing w:before="478" w:beforeLines="150" w:after="100" w:afterAutospacing="1" w:line="360" w:lineRule="auto"/>
        <w:jc w:val="center"/>
        <w:rPr>
          <w:rFonts w:hint="eastAsia" w:ascii="宋体" w:hAnsi="宋体" w:cs="宋体"/>
          <w:b/>
          <w:bCs/>
          <w:sz w:val="24"/>
        </w:rPr>
      </w:pPr>
      <w:r>
        <w:rPr>
          <w:rFonts w:hint="eastAsia" w:ascii="宋体" w:hAnsi="宋体" w:cs="宋体"/>
          <w:b/>
          <w:bCs/>
          <w:sz w:val="24"/>
        </w:rPr>
        <w:t>（三）不围标串标承诺书</w:t>
      </w:r>
    </w:p>
    <w:p w14:paraId="5029C546">
      <w:pPr>
        <w:shd w:val="solid" w:color="FFFFFF" w:fill="auto"/>
        <w:autoSpaceDN w:val="0"/>
        <w:spacing w:line="360" w:lineRule="auto"/>
        <w:ind w:firstLine="480" w:firstLineChars="200"/>
        <w:jc w:val="left"/>
        <w:rPr>
          <w:rFonts w:hint="eastAsia" w:ascii="宋体" w:hAnsi="宋体" w:cs="宋体"/>
          <w:sz w:val="24"/>
          <w:shd w:val="clear" w:color="auto" w:fill="FFFFFF"/>
        </w:rPr>
      </w:pPr>
      <w:r>
        <w:rPr>
          <w:rFonts w:hint="eastAsia" w:ascii="宋体" w:hAnsi="宋体" w:cs="宋体"/>
          <w:sz w:val="24"/>
          <w:shd w:val="clear" w:color="auto" w:fill="FFFFFF"/>
        </w:rPr>
        <w:t>本公司在此郑重承诺，我们坚守诚信经营的原则，坚决反对并严格禁止任何形式的围标、串标行为。我们认识到这些不正当竞争行为不仅违反了市场公平竞争的基本原则，也损害了整个行业的健康发展和企业的长远利益。</w:t>
      </w:r>
    </w:p>
    <w:p w14:paraId="6D81E5CB">
      <w:pPr>
        <w:shd w:val="solid" w:color="FFFFFF" w:fill="auto"/>
        <w:autoSpaceDN w:val="0"/>
        <w:spacing w:line="360" w:lineRule="auto"/>
        <w:jc w:val="left"/>
        <w:rPr>
          <w:rFonts w:hint="eastAsia" w:ascii="宋体" w:hAnsi="宋体" w:cs="宋体"/>
          <w:sz w:val="24"/>
          <w:shd w:val="clear" w:color="auto" w:fill="FFFFFF"/>
        </w:rPr>
      </w:pPr>
      <w:r>
        <w:rPr>
          <w:rFonts w:hint="eastAsia" w:ascii="宋体" w:hAnsi="宋体" w:cs="宋体"/>
          <w:sz w:val="24"/>
          <w:shd w:val="clear" w:color="auto" w:fill="FFFFFF"/>
        </w:rPr>
        <w:t>在参与任何项目的招标、投标过程中，我们将自觉遵守国家相关法律法规，坚持公开、公平、公正的原则，保证所有投标活动的透明性与合法性。我们承诺不会通过任何不正当手段影响或操纵招投标过程，包括但不限于与其他投标者协商报价、分配中标机会等行为。</w:t>
      </w:r>
    </w:p>
    <w:p w14:paraId="2B599502">
      <w:pPr>
        <w:shd w:val="solid" w:color="FFFFFF" w:fill="auto"/>
        <w:autoSpaceDN w:val="0"/>
        <w:spacing w:line="360" w:lineRule="auto"/>
        <w:jc w:val="left"/>
        <w:rPr>
          <w:rFonts w:hint="eastAsia" w:ascii="宋体" w:hAnsi="宋体" w:cs="宋体"/>
          <w:sz w:val="24"/>
          <w:shd w:val="clear" w:color="auto" w:fill="FFFFFF"/>
        </w:rPr>
      </w:pPr>
      <w:r>
        <w:rPr>
          <w:rFonts w:hint="eastAsia" w:ascii="宋体" w:hAnsi="宋体" w:cs="宋体"/>
          <w:sz w:val="24"/>
          <w:shd w:val="clear" w:color="auto" w:fill="FFFFFF"/>
        </w:rPr>
        <w:t>此外，我们将加强内部管理，提升员工的法律意识和职业道德水平，确保每一位员工都能理解并执行公司的诚信经营政策。对于任何违反此承诺的行为，我们将采取零容忍的态度，一经发现，将严肃处理，绝不姑息。</w:t>
      </w:r>
    </w:p>
    <w:p w14:paraId="26B635BC">
      <w:pPr>
        <w:shd w:val="solid" w:color="FFFFFF" w:fill="auto"/>
        <w:autoSpaceDN w:val="0"/>
        <w:spacing w:line="360" w:lineRule="auto"/>
        <w:jc w:val="left"/>
        <w:rPr>
          <w:rFonts w:hint="eastAsia" w:ascii="宋体" w:hAnsi="宋体" w:cs="宋体"/>
          <w:sz w:val="24"/>
          <w:shd w:val="clear" w:color="auto" w:fill="FFFFFF"/>
        </w:rPr>
      </w:pPr>
      <w:r>
        <w:rPr>
          <w:rFonts w:hint="eastAsia" w:ascii="宋体" w:hAnsi="宋体" w:cs="宋体"/>
          <w:sz w:val="24"/>
          <w:shd w:val="clear" w:color="auto" w:fill="FFFFFF"/>
        </w:rPr>
        <w:t>最后，我们再次重申我们的承诺：坚决不参与任何围标、串标行为，致力于成为行业内诚信、守法的典范。</w:t>
      </w:r>
    </w:p>
    <w:p w14:paraId="37383621">
      <w:pPr>
        <w:shd w:val="solid" w:color="FFFFFF" w:fill="auto"/>
        <w:autoSpaceDN w:val="0"/>
        <w:spacing w:line="360" w:lineRule="auto"/>
        <w:jc w:val="left"/>
        <w:rPr>
          <w:rFonts w:hint="eastAsia" w:ascii="宋体" w:hAnsi="宋体" w:cs="宋体"/>
          <w:sz w:val="24"/>
          <w:shd w:val="clear" w:color="auto" w:fill="FFFFFF"/>
        </w:rPr>
      </w:pPr>
    </w:p>
    <w:p w14:paraId="028158BF">
      <w:pPr>
        <w:shd w:val="solid" w:color="FFFFFF" w:fill="auto"/>
        <w:autoSpaceDN w:val="0"/>
        <w:spacing w:line="360" w:lineRule="auto"/>
        <w:jc w:val="left"/>
        <w:rPr>
          <w:rFonts w:hint="eastAsia" w:ascii="宋体" w:hAnsi="宋体" w:cs="宋体"/>
          <w:sz w:val="24"/>
          <w:shd w:val="clear" w:color="auto" w:fill="FFFFFF"/>
        </w:rPr>
      </w:pPr>
      <w:r>
        <w:rPr>
          <w:rFonts w:hint="eastAsia" w:ascii="宋体" w:hAnsi="宋体" w:cs="宋体"/>
          <w:sz w:val="24"/>
          <w:shd w:val="clear" w:color="auto" w:fill="FFFFFF"/>
        </w:rPr>
        <w:t>投标人</w:t>
      </w:r>
      <w:r>
        <w:rPr>
          <w:rFonts w:hint="eastAsia" w:ascii="宋体" w:hAnsi="宋体" w:cs="宋体"/>
          <w:sz w:val="24"/>
        </w:rPr>
        <w:t>：</w:t>
      </w:r>
      <w:r>
        <w:rPr>
          <w:rFonts w:hint="eastAsia" w:ascii="宋体" w:hAnsi="宋体" w:cs="宋体"/>
          <w:sz w:val="24"/>
          <w:u w:val="single"/>
        </w:rPr>
        <w:t xml:space="preserve">      （投标人全称）      </w:t>
      </w:r>
      <w:r>
        <w:rPr>
          <w:rFonts w:hint="eastAsia" w:ascii="宋体" w:hAnsi="宋体" w:cs="宋体"/>
          <w:sz w:val="24"/>
        </w:rPr>
        <w:t>（电子签章）</w:t>
      </w:r>
    </w:p>
    <w:p w14:paraId="3736592D">
      <w:pPr>
        <w:shd w:val="solid" w:color="FFFFFF" w:fill="auto"/>
        <w:autoSpaceDN w:val="0"/>
        <w:spacing w:line="360" w:lineRule="auto"/>
        <w:jc w:val="left"/>
        <w:rPr>
          <w:rFonts w:hint="eastAsia" w:ascii="宋体" w:hAnsi="宋体" w:cs="宋体"/>
          <w:sz w:val="24"/>
          <w:shd w:val="clear" w:color="auto" w:fill="FFFFFF"/>
        </w:rPr>
      </w:pPr>
      <w:r>
        <w:rPr>
          <w:rFonts w:hint="eastAsia" w:ascii="宋体" w:hAnsi="宋体" w:cs="宋体"/>
          <w:sz w:val="24"/>
          <w:shd w:val="clear" w:color="auto" w:fill="FFFFFF"/>
        </w:rPr>
        <w:t xml:space="preserve"> 法定代表人或其委托代理人：</w:t>
      </w:r>
      <w:r>
        <w:rPr>
          <w:rFonts w:hint="eastAsia" w:ascii="宋体" w:hAnsi="宋体" w:cs="宋体"/>
          <w:sz w:val="24"/>
          <w:u w:val="single"/>
          <w:shd w:val="clear" w:color="auto" w:fill="FFFFFF"/>
        </w:rPr>
        <w:t xml:space="preserve">　               </w:t>
      </w:r>
      <w:r>
        <w:rPr>
          <w:rFonts w:hint="eastAsia" w:ascii="宋体" w:hAnsi="宋体" w:cs="宋体"/>
          <w:sz w:val="24"/>
          <w:shd w:val="clear" w:color="auto" w:fill="FFFFFF"/>
        </w:rPr>
        <w:t>（电子签章或电子签名）</w:t>
      </w:r>
    </w:p>
    <w:p w14:paraId="3B07D942">
      <w:pPr>
        <w:pStyle w:val="6"/>
        <w:spacing w:line="360" w:lineRule="auto"/>
        <w:rPr>
          <w:rFonts w:hint="eastAsia" w:ascii="宋体" w:hAnsi="宋体" w:cs="宋体"/>
          <w:sz w:val="24"/>
        </w:rPr>
      </w:pPr>
      <w:r>
        <w:rPr>
          <w:rFonts w:hint="eastAsia" w:ascii="宋体" w:hAnsi="宋体" w:cs="宋体"/>
          <w:sz w:val="24"/>
        </w:rPr>
        <w:t xml:space="preserve"> 日期：</w:t>
      </w:r>
      <w:r>
        <w:rPr>
          <w:rFonts w:hint="eastAsia" w:ascii="宋体" w:hAnsi="宋体" w:cs="宋体"/>
          <w:sz w:val="24"/>
          <w:u w:val="single"/>
          <w:shd w:val="clear" w:color="auto" w:fill="FFFFFF"/>
        </w:rPr>
        <w:t xml:space="preserve">　    </w:t>
      </w:r>
      <w:r>
        <w:rPr>
          <w:rFonts w:hint="eastAsia" w:ascii="宋体" w:hAnsi="宋体" w:cs="宋体"/>
          <w:sz w:val="24"/>
        </w:rPr>
        <w:t>年</w:t>
      </w:r>
      <w:r>
        <w:rPr>
          <w:rFonts w:hint="eastAsia" w:ascii="宋体" w:hAnsi="宋体" w:cs="宋体"/>
          <w:sz w:val="24"/>
          <w:u w:val="single"/>
          <w:shd w:val="clear" w:color="auto" w:fill="FFFFFF"/>
        </w:rPr>
        <w:t xml:space="preserve">　    </w:t>
      </w:r>
      <w:r>
        <w:rPr>
          <w:rFonts w:hint="eastAsia" w:ascii="宋体" w:hAnsi="宋体" w:cs="宋体"/>
          <w:sz w:val="24"/>
        </w:rPr>
        <w:t>月</w:t>
      </w:r>
      <w:r>
        <w:rPr>
          <w:rFonts w:hint="eastAsia" w:ascii="宋体" w:hAnsi="宋体" w:cs="宋体"/>
          <w:sz w:val="24"/>
          <w:u w:val="single"/>
          <w:shd w:val="clear" w:color="auto" w:fill="FFFFFF"/>
        </w:rPr>
        <w:t xml:space="preserve">　    </w:t>
      </w:r>
      <w:r>
        <w:rPr>
          <w:rFonts w:hint="eastAsia" w:ascii="宋体" w:hAnsi="宋体" w:cs="宋体"/>
          <w:sz w:val="24"/>
        </w:rPr>
        <w:t>日</w:t>
      </w:r>
    </w:p>
    <w:p w14:paraId="37269584">
      <w:pPr>
        <w:spacing w:line="360" w:lineRule="auto"/>
        <w:rPr>
          <w:rFonts w:hint="eastAsia" w:ascii="宋体" w:hAnsi="宋体" w:cs="宋体"/>
          <w:b/>
          <w:bCs/>
          <w:kern w:val="44"/>
          <w:sz w:val="24"/>
        </w:rPr>
      </w:pPr>
      <w:r>
        <w:rPr>
          <w:rFonts w:hint="eastAsia" w:ascii="宋体" w:hAnsi="宋体" w:cs="宋体"/>
          <w:sz w:val="24"/>
          <w:shd w:val="clear" w:color="auto" w:fill="FFFFFF"/>
        </w:rPr>
        <w:br w:type="page"/>
      </w:r>
      <w:r>
        <w:rPr>
          <w:rFonts w:hint="eastAsia" w:ascii="宋体" w:hAnsi="宋体" w:cs="宋体"/>
          <w:b/>
          <w:bCs/>
          <w:sz w:val="24"/>
        </w:rPr>
        <w:t>（四）</w:t>
      </w:r>
      <w:r>
        <w:rPr>
          <w:rFonts w:hint="eastAsia" w:ascii="宋体" w:hAnsi="宋体" w:cs="宋体"/>
          <w:b/>
          <w:bCs/>
          <w:kern w:val="44"/>
          <w:sz w:val="24"/>
        </w:rPr>
        <w:t>落实的政府采购政策的相关资料。</w:t>
      </w:r>
    </w:p>
    <w:p w14:paraId="5E42A8F1">
      <w:pPr>
        <w:spacing w:line="360" w:lineRule="auto"/>
        <w:jc w:val="center"/>
        <w:rPr>
          <w:rFonts w:hint="eastAsia" w:ascii="宋体" w:hAnsi="宋体" w:cs="宋体"/>
          <w:b/>
          <w:bCs/>
          <w:sz w:val="24"/>
        </w:rPr>
      </w:pPr>
      <w:r>
        <w:rPr>
          <w:rFonts w:hint="eastAsia" w:ascii="宋体" w:hAnsi="宋体" w:cs="宋体"/>
          <w:b/>
          <w:bCs/>
          <w:sz w:val="24"/>
        </w:rPr>
        <w:t>注：投标人根据自身情况提供，如不属于本项目招标文件第二章《投标须知前附表》第28条中（1）、（2）、（3）相关规定的情形，可不用提供。</w:t>
      </w:r>
    </w:p>
    <w:p w14:paraId="3E580409">
      <w:pPr>
        <w:spacing w:line="360" w:lineRule="auto"/>
        <w:rPr>
          <w:rFonts w:hint="eastAsia" w:ascii="宋体" w:hAnsi="宋体" w:cs="宋体"/>
          <w:sz w:val="24"/>
        </w:rPr>
      </w:pPr>
      <w:r>
        <w:rPr>
          <w:rFonts w:hint="eastAsia" w:ascii="宋体" w:hAnsi="宋体" w:cs="宋体"/>
          <w:sz w:val="24"/>
        </w:rPr>
        <w:t>例如格式：</w:t>
      </w:r>
    </w:p>
    <w:p w14:paraId="519FA8FB">
      <w:pPr>
        <w:tabs>
          <w:tab w:val="left" w:pos="426"/>
        </w:tabs>
        <w:spacing w:before="159" w:beforeLines="50" w:after="159" w:afterLines="50" w:line="360" w:lineRule="auto"/>
        <w:jc w:val="center"/>
        <w:rPr>
          <w:rFonts w:hint="eastAsia" w:ascii="宋体" w:hAnsi="宋体" w:cs="宋体"/>
          <w:b/>
          <w:sz w:val="22"/>
          <w:szCs w:val="22"/>
        </w:rPr>
      </w:pPr>
      <w:r>
        <w:rPr>
          <w:rFonts w:hint="eastAsia" w:ascii="宋体" w:hAnsi="宋体" w:cs="宋体"/>
          <w:b/>
          <w:sz w:val="28"/>
          <w:szCs w:val="28"/>
        </w:rPr>
        <w:t>（1）中小企业声明函（货物）</w:t>
      </w:r>
    </w:p>
    <w:p w14:paraId="75228B9C">
      <w:pPr>
        <w:tabs>
          <w:tab w:val="left" w:pos="426"/>
        </w:tabs>
        <w:spacing w:line="360" w:lineRule="auto"/>
        <w:ind w:firstLine="480" w:firstLineChars="200"/>
        <w:rPr>
          <w:rFonts w:hint="eastAsia" w:ascii="宋体" w:hAnsi="宋体" w:cs="宋体"/>
          <w:bCs/>
          <w:sz w:val="24"/>
        </w:rPr>
      </w:pPr>
      <w:r>
        <w:rPr>
          <w:rFonts w:hint="eastAsia" w:ascii="宋体" w:hAnsi="宋体" w:cs="宋体"/>
          <w:bCs/>
          <w:sz w:val="24"/>
        </w:rPr>
        <w:t>本公司郑重声明，根据《政府采购促进中小企业发展管理办法》（财库﹝2020﹞46 号）的规定，本公司参加</w:t>
      </w:r>
      <w:r>
        <w:rPr>
          <w:rFonts w:hint="eastAsia" w:ascii="宋体" w:hAnsi="宋体" w:cs="宋体"/>
          <w:bCs/>
          <w:sz w:val="24"/>
          <w:u w:val="single"/>
        </w:rPr>
        <w:t xml:space="preserve">   （采购人名称）  </w:t>
      </w:r>
      <w:r>
        <w:rPr>
          <w:rFonts w:hint="eastAsia" w:ascii="宋体" w:hAnsi="宋体" w:cs="宋体"/>
          <w:bCs/>
          <w:sz w:val="24"/>
        </w:rPr>
        <w:t>的</w:t>
      </w:r>
      <w:r>
        <w:rPr>
          <w:rFonts w:hint="eastAsia" w:ascii="宋体" w:hAnsi="宋体" w:cs="宋体"/>
          <w:bCs/>
          <w:sz w:val="24"/>
          <w:u w:val="single"/>
        </w:rPr>
        <w:t xml:space="preserve">   （项目名称）  </w:t>
      </w:r>
      <w:r>
        <w:rPr>
          <w:rFonts w:hint="eastAsia" w:ascii="宋体" w:hAnsi="宋体" w:cs="宋体"/>
          <w:bCs/>
          <w:sz w:val="24"/>
        </w:rPr>
        <w:t>采购活动，提供的货物全部由符合政策要求的中小企业制造。相关企业具体情况如下：</w:t>
      </w:r>
    </w:p>
    <w:p w14:paraId="4952C520">
      <w:pPr>
        <w:tabs>
          <w:tab w:val="left" w:pos="426"/>
        </w:tabs>
        <w:spacing w:line="360" w:lineRule="auto"/>
        <w:ind w:firstLine="480" w:firstLineChars="200"/>
        <w:rPr>
          <w:rFonts w:hint="eastAsia" w:ascii="宋体" w:hAnsi="宋体" w:cs="宋体"/>
          <w:bCs/>
          <w:sz w:val="24"/>
        </w:rPr>
      </w:pPr>
      <w:r>
        <w:rPr>
          <w:rFonts w:hint="eastAsia" w:ascii="宋体" w:hAnsi="宋体" w:cs="宋体"/>
          <w:bCs/>
          <w:sz w:val="24"/>
        </w:rPr>
        <w:t>1.</w:t>
      </w:r>
      <w:r>
        <w:rPr>
          <w:rFonts w:hint="eastAsia" w:ascii="宋体" w:hAnsi="宋体" w:cs="宋体"/>
          <w:bCs/>
          <w:sz w:val="24"/>
          <w:u w:val="single"/>
        </w:rPr>
        <w:t xml:space="preserve">（标的名称）  </w:t>
      </w:r>
      <w:r>
        <w:rPr>
          <w:rFonts w:hint="eastAsia" w:ascii="宋体" w:hAnsi="宋体" w:cs="宋体"/>
          <w:bCs/>
          <w:sz w:val="24"/>
        </w:rPr>
        <w:t>，属于</w:t>
      </w:r>
      <w:r>
        <w:rPr>
          <w:rFonts w:hint="eastAsia" w:ascii="宋体" w:hAnsi="宋体" w:cs="宋体"/>
          <w:bCs/>
          <w:sz w:val="24"/>
          <w:u w:val="single"/>
        </w:rPr>
        <w:t xml:space="preserve">   （招标文件中明确的所属行业）  </w:t>
      </w:r>
      <w:r>
        <w:rPr>
          <w:rFonts w:hint="eastAsia" w:ascii="宋体" w:hAnsi="宋体" w:cs="宋体"/>
          <w:bCs/>
          <w:sz w:val="24"/>
        </w:rPr>
        <w:t>行业；制造商为</w:t>
      </w:r>
      <w:r>
        <w:rPr>
          <w:rFonts w:hint="eastAsia" w:ascii="宋体" w:hAnsi="宋体" w:cs="宋体"/>
          <w:bCs/>
          <w:sz w:val="24"/>
          <w:u w:val="single"/>
        </w:rPr>
        <w:t>（企业名称）</w:t>
      </w:r>
      <w:r>
        <w:rPr>
          <w:rFonts w:hint="eastAsia" w:ascii="宋体" w:hAnsi="宋体" w:cs="宋体"/>
          <w:bCs/>
          <w:sz w:val="24"/>
        </w:rPr>
        <w:t>，从业人员</w:t>
      </w:r>
      <w:r>
        <w:rPr>
          <w:rFonts w:hint="eastAsia" w:ascii="宋体" w:hAnsi="宋体" w:cs="宋体"/>
          <w:bCs/>
          <w:sz w:val="24"/>
          <w:u w:val="single"/>
        </w:rPr>
        <w:t xml:space="preserve">    </w:t>
      </w:r>
      <w:r>
        <w:rPr>
          <w:rFonts w:hint="eastAsia" w:ascii="宋体" w:hAnsi="宋体" w:cs="宋体"/>
          <w:bCs/>
          <w:sz w:val="24"/>
        </w:rPr>
        <w:t>人，营业收入为</w:t>
      </w:r>
      <w:r>
        <w:rPr>
          <w:rFonts w:hint="eastAsia" w:ascii="宋体" w:hAnsi="宋体" w:cs="宋体"/>
          <w:bCs/>
          <w:sz w:val="24"/>
          <w:u w:val="single"/>
        </w:rPr>
        <w:t xml:space="preserve">     </w:t>
      </w:r>
      <w:r>
        <w:rPr>
          <w:rFonts w:hint="eastAsia" w:ascii="宋体" w:hAnsi="宋体" w:cs="宋体"/>
          <w:bCs/>
          <w:sz w:val="24"/>
        </w:rPr>
        <w:t>万元，资产总额为</w:t>
      </w:r>
      <w:r>
        <w:rPr>
          <w:rFonts w:hint="eastAsia" w:ascii="宋体" w:hAnsi="宋体" w:cs="宋体"/>
          <w:bCs/>
          <w:sz w:val="24"/>
          <w:u w:val="single"/>
        </w:rPr>
        <w:t xml:space="preserve">      </w:t>
      </w:r>
      <w:r>
        <w:rPr>
          <w:rFonts w:hint="eastAsia" w:ascii="宋体" w:hAnsi="宋体" w:cs="宋体"/>
          <w:bCs/>
          <w:sz w:val="24"/>
        </w:rPr>
        <w:t>万元，属于</w:t>
      </w:r>
      <w:r>
        <w:rPr>
          <w:rFonts w:hint="eastAsia" w:ascii="宋体" w:hAnsi="宋体" w:cs="宋体"/>
          <w:bCs/>
          <w:sz w:val="24"/>
          <w:u w:val="single"/>
        </w:rPr>
        <w:t xml:space="preserve">    （中型企业/小型企业/微型企业）  </w:t>
      </w:r>
      <w:r>
        <w:rPr>
          <w:rFonts w:hint="eastAsia" w:ascii="宋体" w:hAnsi="宋体" w:cs="宋体"/>
          <w:bCs/>
          <w:sz w:val="24"/>
        </w:rPr>
        <w:t>；</w:t>
      </w:r>
    </w:p>
    <w:p w14:paraId="0761345F">
      <w:pPr>
        <w:tabs>
          <w:tab w:val="left" w:pos="426"/>
        </w:tabs>
        <w:spacing w:line="360" w:lineRule="auto"/>
        <w:ind w:firstLine="480" w:firstLineChars="200"/>
        <w:rPr>
          <w:rFonts w:hint="eastAsia" w:ascii="宋体" w:hAnsi="宋体" w:cs="宋体"/>
          <w:bCs/>
          <w:sz w:val="24"/>
        </w:rPr>
      </w:pPr>
      <w:r>
        <w:rPr>
          <w:rFonts w:hint="eastAsia" w:ascii="宋体" w:hAnsi="宋体" w:cs="宋体"/>
          <w:bCs/>
          <w:sz w:val="24"/>
        </w:rPr>
        <w:t>2.</w:t>
      </w:r>
      <w:r>
        <w:rPr>
          <w:rFonts w:hint="eastAsia" w:ascii="宋体" w:hAnsi="宋体" w:cs="宋体"/>
          <w:bCs/>
          <w:sz w:val="24"/>
          <w:u w:val="single"/>
        </w:rPr>
        <w:t xml:space="preserve">（标的名称）  </w:t>
      </w:r>
      <w:r>
        <w:rPr>
          <w:rFonts w:hint="eastAsia" w:ascii="宋体" w:hAnsi="宋体" w:cs="宋体"/>
          <w:bCs/>
          <w:sz w:val="24"/>
        </w:rPr>
        <w:t>，属于</w:t>
      </w:r>
      <w:r>
        <w:rPr>
          <w:rFonts w:hint="eastAsia" w:ascii="宋体" w:hAnsi="宋体" w:cs="宋体"/>
          <w:bCs/>
          <w:sz w:val="24"/>
          <w:u w:val="single"/>
        </w:rPr>
        <w:t xml:space="preserve">   （招标文件中明确的所属行业）  </w:t>
      </w:r>
      <w:r>
        <w:rPr>
          <w:rFonts w:hint="eastAsia" w:ascii="宋体" w:hAnsi="宋体" w:cs="宋体"/>
          <w:bCs/>
          <w:sz w:val="24"/>
        </w:rPr>
        <w:t>行业；制造商为</w:t>
      </w:r>
      <w:r>
        <w:rPr>
          <w:rFonts w:hint="eastAsia" w:ascii="宋体" w:hAnsi="宋体" w:cs="宋体"/>
          <w:bCs/>
          <w:sz w:val="24"/>
          <w:u w:val="single"/>
        </w:rPr>
        <w:t>（企业名称）</w:t>
      </w:r>
      <w:r>
        <w:rPr>
          <w:rFonts w:hint="eastAsia" w:ascii="宋体" w:hAnsi="宋体" w:cs="宋体"/>
          <w:bCs/>
          <w:sz w:val="24"/>
        </w:rPr>
        <w:t>，从业人员</w:t>
      </w:r>
      <w:r>
        <w:rPr>
          <w:rFonts w:hint="eastAsia" w:ascii="宋体" w:hAnsi="宋体" w:cs="宋体"/>
          <w:bCs/>
          <w:sz w:val="24"/>
          <w:u w:val="single"/>
        </w:rPr>
        <w:t xml:space="preserve">    </w:t>
      </w:r>
      <w:r>
        <w:rPr>
          <w:rFonts w:hint="eastAsia" w:ascii="宋体" w:hAnsi="宋体" w:cs="宋体"/>
          <w:bCs/>
          <w:sz w:val="24"/>
        </w:rPr>
        <w:t xml:space="preserve"> 人，营业收入为</w:t>
      </w:r>
      <w:r>
        <w:rPr>
          <w:rFonts w:hint="eastAsia" w:ascii="宋体" w:hAnsi="宋体" w:cs="宋体"/>
          <w:bCs/>
          <w:sz w:val="24"/>
          <w:u w:val="single"/>
        </w:rPr>
        <w:t xml:space="preserve">    </w:t>
      </w:r>
      <w:r>
        <w:rPr>
          <w:rFonts w:hint="eastAsia" w:ascii="宋体" w:hAnsi="宋体" w:cs="宋体"/>
          <w:bCs/>
          <w:sz w:val="24"/>
        </w:rPr>
        <w:t>万元，资产总额为</w:t>
      </w:r>
      <w:r>
        <w:rPr>
          <w:rFonts w:hint="eastAsia" w:ascii="宋体" w:hAnsi="宋体" w:cs="宋体"/>
          <w:bCs/>
          <w:sz w:val="24"/>
          <w:u w:val="single"/>
        </w:rPr>
        <w:t xml:space="preserve">     </w:t>
      </w:r>
      <w:r>
        <w:rPr>
          <w:rFonts w:hint="eastAsia" w:ascii="宋体" w:hAnsi="宋体" w:cs="宋体"/>
          <w:bCs/>
          <w:sz w:val="24"/>
        </w:rPr>
        <w:t>万元，属于</w:t>
      </w:r>
      <w:r>
        <w:rPr>
          <w:rFonts w:hint="eastAsia" w:ascii="宋体" w:hAnsi="宋体" w:cs="宋体"/>
          <w:bCs/>
          <w:sz w:val="24"/>
          <w:u w:val="single"/>
        </w:rPr>
        <w:t xml:space="preserve">    （中型企业/小型企业/微型企业）  </w:t>
      </w:r>
      <w:r>
        <w:rPr>
          <w:rFonts w:hint="eastAsia" w:ascii="宋体" w:hAnsi="宋体" w:cs="宋体"/>
          <w:bCs/>
          <w:sz w:val="24"/>
        </w:rPr>
        <w:t xml:space="preserve">； </w:t>
      </w:r>
    </w:p>
    <w:p w14:paraId="3722C886">
      <w:pPr>
        <w:tabs>
          <w:tab w:val="left" w:pos="426"/>
        </w:tabs>
        <w:spacing w:line="360" w:lineRule="auto"/>
        <w:ind w:firstLine="480" w:firstLineChars="200"/>
        <w:rPr>
          <w:rFonts w:hint="eastAsia" w:ascii="宋体" w:hAnsi="宋体" w:cs="宋体"/>
          <w:bCs/>
          <w:sz w:val="24"/>
        </w:rPr>
      </w:pPr>
      <w:r>
        <w:rPr>
          <w:rFonts w:hint="eastAsia" w:ascii="宋体" w:hAnsi="宋体" w:cs="宋体"/>
          <w:bCs/>
          <w:sz w:val="24"/>
        </w:rPr>
        <w:t>……</w:t>
      </w:r>
    </w:p>
    <w:p w14:paraId="4C73965E">
      <w:pPr>
        <w:tabs>
          <w:tab w:val="left" w:pos="426"/>
        </w:tabs>
        <w:spacing w:line="360" w:lineRule="auto"/>
        <w:ind w:firstLine="480" w:firstLineChars="200"/>
        <w:rPr>
          <w:rFonts w:hint="eastAsia" w:ascii="宋体" w:hAnsi="宋体" w:cs="宋体"/>
          <w:bCs/>
          <w:sz w:val="24"/>
        </w:rPr>
      </w:pPr>
      <w:r>
        <w:rPr>
          <w:rFonts w:hint="eastAsia" w:ascii="宋体" w:hAnsi="宋体" w:cs="宋体"/>
          <w:bCs/>
          <w:sz w:val="24"/>
        </w:rPr>
        <w:t xml:space="preserve">以上企业，不属于大企业的分支构，不存在控股股东为大企业的情形，也不存在与大企业的负责人为同一人的情形。 </w:t>
      </w:r>
    </w:p>
    <w:p w14:paraId="095C7E40">
      <w:pPr>
        <w:tabs>
          <w:tab w:val="left" w:pos="426"/>
        </w:tabs>
        <w:spacing w:line="360" w:lineRule="auto"/>
        <w:ind w:firstLine="480" w:firstLineChars="200"/>
        <w:rPr>
          <w:rFonts w:hint="eastAsia" w:ascii="宋体" w:hAnsi="宋体" w:cs="宋体"/>
          <w:bCs/>
          <w:sz w:val="24"/>
        </w:rPr>
      </w:pPr>
      <w:r>
        <w:rPr>
          <w:rFonts w:hint="eastAsia" w:ascii="宋体" w:hAnsi="宋体" w:cs="宋体"/>
          <w:bCs/>
          <w:sz w:val="24"/>
        </w:rPr>
        <w:t>本企业对上述声明内容的真实性负责。如有虚假，将依法承担相应责任。</w:t>
      </w:r>
    </w:p>
    <w:p w14:paraId="3C641885">
      <w:pPr>
        <w:tabs>
          <w:tab w:val="left" w:pos="426"/>
        </w:tabs>
        <w:spacing w:line="360" w:lineRule="auto"/>
        <w:ind w:firstLine="5520" w:firstLineChars="2300"/>
        <w:rPr>
          <w:rFonts w:hint="eastAsia" w:ascii="宋体" w:hAnsi="宋体" w:cs="宋体"/>
          <w:bCs/>
          <w:sz w:val="24"/>
        </w:rPr>
      </w:pPr>
    </w:p>
    <w:p w14:paraId="670D73CA">
      <w:pPr>
        <w:tabs>
          <w:tab w:val="left" w:pos="426"/>
        </w:tabs>
        <w:spacing w:line="360" w:lineRule="auto"/>
        <w:ind w:firstLine="5520" w:firstLineChars="2300"/>
        <w:rPr>
          <w:rFonts w:hint="eastAsia" w:ascii="宋体" w:hAnsi="宋体" w:cs="宋体"/>
          <w:bCs/>
          <w:sz w:val="24"/>
        </w:rPr>
      </w:pPr>
      <w:r>
        <w:rPr>
          <w:rFonts w:hint="eastAsia" w:ascii="宋体" w:hAnsi="宋体" w:cs="宋体"/>
          <w:bCs/>
          <w:sz w:val="24"/>
        </w:rPr>
        <w:t xml:space="preserve">企业名称（盖章）： </w:t>
      </w:r>
    </w:p>
    <w:p w14:paraId="0A20058C">
      <w:pPr>
        <w:tabs>
          <w:tab w:val="left" w:pos="426"/>
        </w:tabs>
        <w:spacing w:line="360" w:lineRule="auto"/>
        <w:ind w:firstLine="5520" w:firstLineChars="2300"/>
        <w:rPr>
          <w:rFonts w:hint="eastAsia" w:ascii="宋体" w:hAnsi="宋体" w:cs="宋体"/>
          <w:bCs/>
          <w:sz w:val="24"/>
        </w:rPr>
      </w:pPr>
      <w:r>
        <w:rPr>
          <w:rFonts w:hint="eastAsia" w:ascii="宋体" w:hAnsi="宋体" w:cs="宋体"/>
          <w:bCs/>
          <w:sz w:val="24"/>
        </w:rPr>
        <w:t>日 期：</w:t>
      </w:r>
    </w:p>
    <w:p w14:paraId="09817453">
      <w:pPr>
        <w:pStyle w:val="6"/>
        <w:spacing w:after="0" w:line="360" w:lineRule="auto"/>
        <w:rPr>
          <w:rFonts w:hint="eastAsia" w:ascii="宋体" w:hAnsi="宋体" w:cs="宋体"/>
          <w:sz w:val="24"/>
        </w:rPr>
      </w:pPr>
    </w:p>
    <w:p w14:paraId="46584AED">
      <w:pPr>
        <w:pStyle w:val="6"/>
        <w:spacing w:after="0" w:line="360" w:lineRule="auto"/>
        <w:rPr>
          <w:rFonts w:hint="eastAsia" w:ascii="宋体" w:hAnsi="宋体" w:cs="宋体"/>
          <w:sz w:val="24"/>
        </w:rPr>
      </w:pPr>
      <w:r>
        <w:rPr>
          <w:rFonts w:hint="eastAsia" w:ascii="宋体" w:hAnsi="宋体" w:cs="宋体"/>
          <w:sz w:val="24"/>
        </w:rPr>
        <w:t>注：①从业人员、营业收入、资产总额填报上一年度数据，无上一年度数据的新成立企业可不填报。</w:t>
      </w:r>
    </w:p>
    <w:p w14:paraId="443F3778">
      <w:pPr>
        <w:pStyle w:val="6"/>
        <w:spacing w:after="0" w:line="360" w:lineRule="auto"/>
        <w:rPr>
          <w:rFonts w:hint="eastAsia" w:ascii="宋体" w:hAnsi="宋体" w:cs="宋体"/>
          <w:sz w:val="24"/>
        </w:rPr>
      </w:pPr>
      <w:r>
        <w:rPr>
          <w:rFonts w:hint="eastAsia" w:ascii="宋体" w:hAnsi="宋体" w:cs="宋体"/>
          <w:sz w:val="24"/>
        </w:rPr>
        <w:t>②上述“企业名称（盖章）”指投标人。</w:t>
      </w:r>
    </w:p>
    <w:p w14:paraId="483FDA79">
      <w:pPr>
        <w:pStyle w:val="6"/>
        <w:spacing w:after="0" w:line="360" w:lineRule="auto"/>
        <w:rPr>
          <w:rFonts w:hint="eastAsia" w:ascii="宋体" w:hAnsi="宋体" w:cs="宋体"/>
          <w:sz w:val="24"/>
        </w:rPr>
      </w:pPr>
      <w:r>
        <w:rPr>
          <w:rFonts w:hint="eastAsia" w:ascii="宋体" w:hAnsi="宋体" w:cs="宋体"/>
          <w:sz w:val="24"/>
        </w:rPr>
        <w:t>③如不是中小微企业，则无需提供或填写。</w:t>
      </w:r>
    </w:p>
    <w:p w14:paraId="54AD32AA">
      <w:pPr>
        <w:pStyle w:val="6"/>
        <w:spacing w:after="0" w:line="360" w:lineRule="auto"/>
        <w:rPr>
          <w:rFonts w:hint="eastAsia" w:ascii="宋体" w:hAnsi="宋体" w:cs="宋体"/>
          <w:sz w:val="24"/>
        </w:rPr>
      </w:pPr>
    </w:p>
    <w:p w14:paraId="137D9461">
      <w:pPr>
        <w:pStyle w:val="6"/>
        <w:spacing w:after="0" w:line="360" w:lineRule="auto"/>
        <w:rPr>
          <w:rFonts w:hint="eastAsia" w:ascii="宋体" w:hAnsi="宋体" w:cs="宋体"/>
          <w:sz w:val="24"/>
        </w:rPr>
      </w:pPr>
      <w:r>
        <w:rPr>
          <w:rFonts w:hint="eastAsia" w:ascii="宋体" w:hAnsi="宋体" w:cs="宋体"/>
          <w:sz w:val="24"/>
        </w:rPr>
        <w:t>说明：本项目</w:t>
      </w:r>
      <w:r>
        <w:rPr>
          <w:rFonts w:hint="eastAsia" w:ascii="宋体" w:hAnsi="宋体" w:cs="宋体"/>
          <w:bCs/>
          <w:sz w:val="24"/>
        </w:rPr>
        <w:t>适用于</w:t>
      </w:r>
      <w:r>
        <w:rPr>
          <w:rFonts w:hint="eastAsia" w:ascii="宋体" w:hAnsi="宋体" w:cs="宋体"/>
          <w:b/>
          <w:bCs/>
          <w:sz w:val="24"/>
          <w:u w:val="single"/>
        </w:rPr>
        <w:t>工业中的（制造业）</w:t>
      </w:r>
      <w:r>
        <w:rPr>
          <w:rFonts w:hint="eastAsia" w:ascii="宋体" w:hAnsi="宋体" w:cs="宋体"/>
          <w:bCs/>
          <w:sz w:val="24"/>
        </w:rPr>
        <w:t>划分标准</w:t>
      </w:r>
      <w:r>
        <w:rPr>
          <w:rFonts w:hint="eastAsia" w:ascii="宋体" w:hAnsi="宋体" w:cs="宋体"/>
          <w:sz w:val="24"/>
        </w:rPr>
        <w:t>：</w:t>
      </w:r>
      <w:r>
        <w:rPr>
          <w:rFonts w:hint="eastAsia" w:ascii="宋体" w:hAnsi="宋体" w:cs="宋体"/>
          <w:b/>
          <w:bCs/>
          <w:sz w:val="24"/>
        </w:rPr>
        <w:t>“</w:t>
      </w:r>
      <w:r>
        <w:rPr>
          <w:rFonts w:hint="eastAsia" w:ascii="宋体" w:hAnsi="宋体" w:cs="宋体"/>
          <w:b/>
          <w:bCs/>
          <w:sz w:val="24"/>
          <w:u w:val="single"/>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r>
        <w:rPr>
          <w:rFonts w:hint="eastAsia" w:ascii="宋体" w:hAnsi="宋体" w:cs="宋体"/>
          <w:b/>
          <w:bCs/>
          <w:sz w:val="24"/>
        </w:rPr>
        <w:t>”</w:t>
      </w:r>
    </w:p>
    <w:p w14:paraId="53B200F0">
      <w:pPr>
        <w:pStyle w:val="6"/>
        <w:spacing w:after="0" w:line="360" w:lineRule="auto"/>
        <w:rPr>
          <w:rFonts w:hint="eastAsia" w:ascii="宋体" w:hAnsi="宋体" w:cs="宋体"/>
          <w:sz w:val="24"/>
        </w:rPr>
      </w:pPr>
    </w:p>
    <w:p w14:paraId="6EDADDC3">
      <w:pPr>
        <w:rPr>
          <w:rFonts w:hint="eastAsia" w:ascii="宋体" w:hAnsi="宋体" w:cs="宋体"/>
          <w:b/>
          <w:sz w:val="28"/>
          <w:szCs w:val="28"/>
        </w:rPr>
      </w:pPr>
      <w:r>
        <w:rPr>
          <w:rFonts w:hint="eastAsia" w:ascii="宋体" w:hAnsi="宋体" w:cs="宋体"/>
          <w:b/>
          <w:sz w:val="28"/>
          <w:szCs w:val="28"/>
        </w:rPr>
        <w:br w:type="page"/>
      </w:r>
    </w:p>
    <w:p w14:paraId="5D7A753A">
      <w:pPr>
        <w:tabs>
          <w:tab w:val="left" w:pos="426"/>
        </w:tabs>
        <w:spacing w:line="360" w:lineRule="auto"/>
        <w:jc w:val="center"/>
        <w:rPr>
          <w:rFonts w:hint="eastAsia" w:ascii="宋体" w:hAnsi="宋体" w:cs="宋体"/>
          <w:b/>
          <w:sz w:val="28"/>
          <w:szCs w:val="28"/>
        </w:rPr>
      </w:pPr>
      <w:r>
        <w:rPr>
          <w:rFonts w:hint="eastAsia" w:ascii="宋体" w:hAnsi="宋体" w:cs="宋体"/>
          <w:b/>
          <w:sz w:val="28"/>
          <w:szCs w:val="28"/>
        </w:rPr>
        <w:t>（2）监狱企业证明文件</w:t>
      </w:r>
    </w:p>
    <w:p w14:paraId="3DF027C8">
      <w:pPr>
        <w:spacing w:line="360" w:lineRule="auto"/>
        <w:ind w:firstLine="480" w:firstLineChars="200"/>
        <w:jc w:val="left"/>
        <w:rPr>
          <w:rFonts w:hint="eastAsia" w:ascii="宋体" w:hAnsi="宋体" w:cs="宋体"/>
          <w:sz w:val="24"/>
        </w:rPr>
      </w:pPr>
      <w:r>
        <w:rPr>
          <w:rFonts w:hint="eastAsia" w:ascii="宋体" w:hAnsi="宋体" w:cs="宋体"/>
          <w:sz w:val="24"/>
        </w:rPr>
        <w:t>根据《财政部 司法部关于政府采购支持监狱企业发展有关问题的通知》（财库〔2014〕68号）的规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1330B35">
      <w:pPr>
        <w:spacing w:line="360" w:lineRule="auto"/>
        <w:ind w:firstLine="360" w:firstLineChars="150"/>
        <w:jc w:val="left"/>
        <w:rPr>
          <w:rFonts w:hint="eastAsia" w:ascii="宋体" w:hAnsi="宋体" w:cs="宋体"/>
          <w:sz w:val="24"/>
        </w:rPr>
      </w:pPr>
      <w:r>
        <w:rPr>
          <w:rFonts w:hint="eastAsia" w:ascii="宋体" w:hAnsi="宋体" w:cs="宋体"/>
          <w:sz w:val="24"/>
          <w:u w:val="single"/>
        </w:rPr>
        <w:t>监狱企业参加政府采购活动时，应当提供由省级以上监狱管理局、戒毒管理局（含新疆生产建设兵团）出具的属于监狱企业的证明文件。</w:t>
      </w:r>
    </w:p>
    <w:p w14:paraId="5E41CB24">
      <w:pPr>
        <w:spacing w:line="360" w:lineRule="auto"/>
        <w:jc w:val="center"/>
        <w:rPr>
          <w:rFonts w:hint="eastAsia" w:ascii="宋体" w:hAnsi="宋体" w:cs="宋体"/>
          <w:sz w:val="24"/>
        </w:rPr>
      </w:pPr>
      <w:r>
        <w:rPr>
          <w:rFonts w:hint="eastAsia" w:ascii="宋体" w:hAnsi="宋体" w:cs="宋体"/>
          <w:spacing w:val="6"/>
          <w:sz w:val="24"/>
        </w:rPr>
        <w:t>（注：不属于的无需提供）</w:t>
      </w:r>
    </w:p>
    <w:p w14:paraId="1D1B0A95">
      <w:pPr>
        <w:spacing w:line="360" w:lineRule="auto"/>
        <w:ind w:firstLine="472" w:firstLineChars="196"/>
        <w:rPr>
          <w:rFonts w:hint="eastAsia" w:ascii="宋体" w:hAnsi="宋体" w:cs="宋体"/>
          <w:b/>
          <w:kern w:val="0"/>
          <w:sz w:val="24"/>
          <w:lang w:bidi="en-US"/>
        </w:rPr>
      </w:pPr>
    </w:p>
    <w:p w14:paraId="3171BC30">
      <w:pPr>
        <w:pStyle w:val="6"/>
        <w:spacing w:line="360" w:lineRule="auto"/>
        <w:rPr>
          <w:rFonts w:hint="eastAsia" w:ascii="宋体" w:hAnsi="宋体" w:cs="宋体"/>
          <w:b/>
          <w:kern w:val="0"/>
          <w:sz w:val="24"/>
          <w:lang w:bidi="en-US"/>
        </w:rPr>
      </w:pPr>
    </w:p>
    <w:p w14:paraId="734D50E8">
      <w:pPr>
        <w:spacing w:line="360" w:lineRule="auto"/>
        <w:rPr>
          <w:rFonts w:hint="eastAsia" w:ascii="宋体" w:hAnsi="宋体" w:cs="宋体"/>
          <w:b/>
          <w:kern w:val="0"/>
          <w:sz w:val="24"/>
          <w:lang w:bidi="en-US"/>
        </w:rPr>
      </w:pPr>
    </w:p>
    <w:p w14:paraId="7825BB74">
      <w:pPr>
        <w:pStyle w:val="6"/>
        <w:spacing w:line="360" w:lineRule="auto"/>
        <w:rPr>
          <w:rFonts w:hint="eastAsia" w:ascii="宋体" w:hAnsi="宋体" w:cs="宋体"/>
        </w:rPr>
      </w:pPr>
    </w:p>
    <w:p w14:paraId="5A9555FD">
      <w:pPr>
        <w:numPr>
          <w:ilvl w:val="0"/>
          <w:numId w:val="4"/>
        </w:numPr>
        <w:tabs>
          <w:tab w:val="left" w:pos="426"/>
        </w:tabs>
        <w:spacing w:line="360" w:lineRule="auto"/>
        <w:jc w:val="center"/>
        <w:rPr>
          <w:rFonts w:hint="eastAsia" w:ascii="宋体" w:hAnsi="宋体" w:cs="宋体"/>
          <w:b/>
          <w:sz w:val="28"/>
          <w:szCs w:val="28"/>
        </w:rPr>
      </w:pPr>
      <w:r>
        <w:rPr>
          <w:rFonts w:hint="eastAsia" w:ascii="宋体" w:hAnsi="宋体" w:cs="宋体"/>
          <w:b/>
          <w:sz w:val="28"/>
          <w:szCs w:val="28"/>
        </w:rPr>
        <w:t>残疾人福利性单位声明函</w:t>
      </w:r>
    </w:p>
    <w:p w14:paraId="2E10A6B3">
      <w:pPr>
        <w:spacing w:line="360" w:lineRule="auto"/>
        <w:ind w:firstLine="470" w:firstLineChars="196"/>
        <w:rPr>
          <w:rFonts w:hint="eastAsia" w:ascii="宋体" w:hAnsi="宋体" w:cs="宋体"/>
          <w:bCs/>
          <w:sz w:val="24"/>
        </w:rPr>
      </w:pPr>
      <w:r>
        <w:rPr>
          <w:rFonts w:hint="eastAsia" w:ascii="宋体" w:hAnsi="宋体" w:cs="宋体"/>
          <w:bCs/>
          <w:sz w:val="24"/>
        </w:rPr>
        <w:t>本单位郑重声明，根据《财政部民政部中国残疾人联合会关于促进残疾人就业政府采购政策的通知》（财库〔2017〕141号）的规定，本单位为符合条件的残疾人福利性单位，且本单位参加</w:t>
      </w:r>
      <w:r>
        <w:rPr>
          <w:rFonts w:hint="eastAsia" w:ascii="宋体" w:hAnsi="宋体" w:cs="宋体"/>
          <w:bCs/>
          <w:sz w:val="24"/>
          <w:u w:val="single"/>
        </w:rPr>
        <w:t xml:space="preserve">   （采购人名称）</w:t>
      </w:r>
      <w:r>
        <w:rPr>
          <w:rFonts w:hint="eastAsia" w:ascii="宋体" w:hAnsi="宋体" w:cs="宋体"/>
          <w:bCs/>
          <w:sz w:val="24"/>
        </w:rPr>
        <w:t>单位的</w:t>
      </w:r>
      <w:r>
        <w:rPr>
          <w:rFonts w:hint="eastAsia" w:ascii="宋体" w:hAnsi="宋体" w:cs="宋体"/>
          <w:bCs/>
          <w:sz w:val="24"/>
          <w:u w:val="single"/>
        </w:rPr>
        <w:t xml:space="preserve">     （项目名称）</w:t>
      </w:r>
      <w:r>
        <w:rPr>
          <w:rFonts w:hint="eastAsia" w:ascii="宋体" w:hAnsi="宋体" w:cs="宋体"/>
          <w:bCs/>
          <w:sz w:val="24"/>
        </w:rPr>
        <w:t>项目采购活动提供本单位制造的货物（由本单位承担工程/提供服务），或者提供其他残疾人福利性单位制造的货物（不包括使用非残疾人福利性单位注册商标的货物）。</w:t>
      </w:r>
    </w:p>
    <w:p w14:paraId="4FD7E80F">
      <w:pPr>
        <w:spacing w:line="360" w:lineRule="auto"/>
        <w:ind w:firstLine="470" w:firstLineChars="196"/>
        <w:rPr>
          <w:rFonts w:hint="eastAsia" w:ascii="宋体" w:hAnsi="宋体" w:cs="宋体"/>
          <w:bCs/>
          <w:sz w:val="24"/>
        </w:rPr>
      </w:pPr>
      <w:r>
        <w:rPr>
          <w:rFonts w:hint="eastAsia" w:ascii="宋体" w:hAnsi="宋体" w:cs="宋体"/>
          <w:bCs/>
          <w:sz w:val="24"/>
        </w:rPr>
        <w:t>本单位对上述声明的真实性负责。如有虚假，将依法承担相应责任。</w:t>
      </w:r>
    </w:p>
    <w:p w14:paraId="28EE68C8">
      <w:pPr>
        <w:spacing w:line="360" w:lineRule="auto"/>
        <w:ind w:firstLine="480" w:firstLineChars="200"/>
        <w:rPr>
          <w:rFonts w:hint="eastAsia" w:ascii="宋体" w:hAnsi="宋体" w:cs="宋体"/>
          <w:bCs/>
          <w:sz w:val="24"/>
        </w:rPr>
      </w:pPr>
      <w:r>
        <w:rPr>
          <w:rFonts w:hint="eastAsia" w:ascii="宋体" w:hAnsi="宋体" w:cs="宋体"/>
          <w:bCs/>
          <w:sz w:val="24"/>
        </w:rPr>
        <w:t xml:space="preserve">单位名称（盖章）： </w:t>
      </w:r>
    </w:p>
    <w:p w14:paraId="5D36989F">
      <w:pPr>
        <w:spacing w:line="360" w:lineRule="auto"/>
        <w:ind w:firstLine="480" w:firstLineChars="200"/>
        <w:rPr>
          <w:rFonts w:hint="eastAsia" w:ascii="宋体" w:hAnsi="宋体" w:cs="宋体"/>
          <w:bCs/>
          <w:sz w:val="24"/>
        </w:rPr>
      </w:pPr>
      <w:r>
        <w:rPr>
          <w:rFonts w:hint="eastAsia" w:ascii="宋体" w:hAnsi="宋体" w:cs="宋体"/>
          <w:bCs/>
          <w:sz w:val="24"/>
        </w:rPr>
        <w:t>日  期：</w:t>
      </w:r>
    </w:p>
    <w:p w14:paraId="1289EF0B">
      <w:pPr>
        <w:pStyle w:val="6"/>
        <w:spacing w:line="360" w:lineRule="auto"/>
        <w:jc w:val="center"/>
        <w:rPr>
          <w:rFonts w:hint="eastAsia" w:ascii="宋体" w:hAnsi="宋体" w:cs="宋体"/>
        </w:rPr>
      </w:pPr>
      <w:r>
        <w:rPr>
          <w:rFonts w:hint="eastAsia" w:ascii="宋体" w:hAnsi="宋体" w:cs="宋体"/>
          <w:spacing w:val="6"/>
          <w:sz w:val="24"/>
        </w:rPr>
        <w:t>（注：不属于的无需提供）</w:t>
      </w:r>
    </w:p>
    <w:p w14:paraId="50A44652">
      <w:pPr>
        <w:pStyle w:val="6"/>
        <w:spacing w:line="360" w:lineRule="auto"/>
        <w:rPr>
          <w:rFonts w:hint="eastAsia" w:ascii="宋体" w:hAnsi="宋体" w:cs="宋体"/>
          <w:b/>
          <w:bCs/>
          <w:sz w:val="24"/>
        </w:rPr>
      </w:pPr>
    </w:p>
    <w:p w14:paraId="492AA303">
      <w:pPr>
        <w:spacing w:line="360" w:lineRule="auto"/>
        <w:rPr>
          <w:rFonts w:hint="eastAsia" w:ascii="宋体" w:hAnsi="宋体" w:cs="宋体"/>
          <w:b/>
          <w:sz w:val="24"/>
          <w:shd w:val="clear" w:color="auto" w:fill="FFFFFF"/>
        </w:rPr>
      </w:pPr>
    </w:p>
    <w:p w14:paraId="03BC8129">
      <w:pPr>
        <w:spacing w:after="100" w:afterAutospacing="1" w:line="360" w:lineRule="auto"/>
        <w:jc w:val="center"/>
        <w:rPr>
          <w:rFonts w:hint="eastAsia" w:ascii="宋体" w:hAnsi="宋体" w:cs="宋体"/>
          <w:b/>
          <w:sz w:val="28"/>
          <w:szCs w:val="28"/>
          <w:shd w:val="clear" w:color="auto" w:fill="FFFFFF" w:themeFill="background1"/>
        </w:rPr>
      </w:pPr>
      <w:r>
        <w:rPr>
          <w:rFonts w:hint="eastAsia" w:ascii="宋体" w:hAnsi="宋体" w:cs="宋体"/>
          <w:b/>
          <w:sz w:val="24"/>
          <w:shd w:val="clear" w:color="auto" w:fill="FFFFFF"/>
        </w:rPr>
        <w:br w:type="page"/>
      </w:r>
      <w:r>
        <w:rPr>
          <w:rFonts w:hint="eastAsia" w:ascii="宋体" w:hAnsi="宋体" w:cs="宋体"/>
          <w:b/>
          <w:sz w:val="28"/>
          <w:szCs w:val="28"/>
          <w:shd w:val="clear" w:color="auto" w:fill="FFFFFF" w:themeFill="background1"/>
        </w:rPr>
        <w:t>（五）关于符合本国产品标准的声明函</w:t>
      </w:r>
    </w:p>
    <w:p w14:paraId="71B3B7EA">
      <w:pPr>
        <w:spacing w:line="360" w:lineRule="auto"/>
        <w:ind w:firstLine="480" w:firstLineChars="200"/>
        <w:rPr>
          <w:rFonts w:hint="eastAsia" w:ascii="宋体" w:hAnsi="宋体" w:cs="宋体"/>
          <w:bCs/>
          <w:sz w:val="24"/>
          <w:shd w:val="clear" w:color="auto" w:fill="FFFFFF" w:themeFill="background1"/>
        </w:rPr>
      </w:pPr>
      <w:r>
        <w:rPr>
          <w:rFonts w:hint="eastAsia" w:ascii="宋体" w:hAnsi="宋体" w:cs="宋体"/>
          <w:bCs/>
          <w:sz w:val="24"/>
          <w:shd w:val="clear" w:color="auto" w:fill="FFFFFF" w:themeFill="background1"/>
        </w:rPr>
        <w:t>本公司（单位）郑重声明，根据</w:t>
      </w:r>
      <w:bookmarkStart w:id="217" w:name="OLE_LINK3"/>
      <w:r>
        <w:rPr>
          <w:rFonts w:hint="eastAsia" w:ascii="宋体" w:hAnsi="宋体" w:cs="宋体"/>
          <w:bCs/>
          <w:sz w:val="24"/>
          <w:shd w:val="clear" w:color="auto" w:fill="FFFFFF" w:themeFill="background1"/>
        </w:rPr>
        <w:t>《国务院办公厅关于在政府采购中实施本国产品标准及相关政策的通知》（国办发〔2025〕34号）</w:t>
      </w:r>
      <w:bookmarkEnd w:id="217"/>
      <w:r>
        <w:rPr>
          <w:rFonts w:hint="eastAsia" w:ascii="宋体" w:hAnsi="宋体" w:cs="宋体"/>
          <w:bCs/>
          <w:sz w:val="24"/>
          <w:shd w:val="clear" w:color="auto" w:fill="FFFFFF" w:themeFill="background1"/>
        </w:rPr>
        <w:t>的规定，本公司（单位）提供的以下产品属于本国产品。具体情况如下：</w:t>
      </w:r>
    </w:p>
    <w:p w14:paraId="16A38ACA">
      <w:pPr>
        <w:spacing w:line="360" w:lineRule="auto"/>
        <w:ind w:firstLine="480" w:firstLineChars="200"/>
        <w:rPr>
          <w:rFonts w:hint="eastAsia" w:ascii="宋体" w:hAnsi="宋体" w:cs="宋体"/>
          <w:bCs/>
          <w:sz w:val="24"/>
          <w:shd w:val="clear" w:color="auto" w:fill="FFFFFF" w:themeFill="background1"/>
        </w:rPr>
      </w:pPr>
      <w:r>
        <w:rPr>
          <w:rFonts w:hint="eastAsia" w:ascii="宋体" w:hAnsi="宋体" w:cs="宋体"/>
          <w:bCs/>
          <w:sz w:val="24"/>
          <w:shd w:val="clear" w:color="auto" w:fill="FFFFFF" w:themeFill="background1"/>
        </w:rPr>
        <w:t>1.（产品名称1）</w:t>
      </w:r>
      <w:r>
        <w:rPr>
          <w:rFonts w:hint="eastAsia" w:ascii="宋体" w:hAnsi="宋体" w:cs="宋体"/>
          <w:bCs/>
          <w:sz w:val="24"/>
          <w:u w:val="single"/>
          <w:shd w:val="clear" w:color="auto" w:fill="FFFFFF" w:themeFill="background1"/>
        </w:rPr>
        <w:t xml:space="preserve">      </w:t>
      </w:r>
      <w:r>
        <w:rPr>
          <w:rFonts w:hint="eastAsia" w:ascii="宋体" w:hAnsi="宋体" w:cs="宋体"/>
          <w:bCs/>
          <w:sz w:val="24"/>
          <w:shd w:val="clear" w:color="auto" w:fill="FFFFFF" w:themeFill="background1"/>
        </w:rPr>
        <w:t>，生产厂为（厂名）</w:t>
      </w:r>
      <w:r>
        <w:rPr>
          <w:rFonts w:hint="eastAsia" w:ascii="宋体" w:hAnsi="宋体" w:cs="宋体"/>
          <w:bCs/>
          <w:sz w:val="24"/>
          <w:u w:val="single"/>
          <w:shd w:val="clear" w:color="auto" w:fill="FFFFFF" w:themeFill="background1"/>
        </w:rPr>
        <w:t xml:space="preserve">      </w:t>
      </w:r>
      <w:r>
        <w:rPr>
          <w:rFonts w:hint="eastAsia" w:ascii="宋体" w:hAnsi="宋体" w:cs="宋体"/>
          <w:bCs/>
          <w:sz w:val="24"/>
          <w:shd w:val="clear" w:color="auto" w:fill="FFFFFF" w:themeFill="background1"/>
        </w:rPr>
        <w:t>，厂址为（生产厂址）</w:t>
      </w:r>
      <w:r>
        <w:rPr>
          <w:rFonts w:hint="eastAsia" w:ascii="宋体" w:hAnsi="宋体" w:cs="宋体"/>
          <w:bCs/>
          <w:sz w:val="24"/>
          <w:u w:val="single"/>
          <w:shd w:val="clear" w:color="auto" w:fill="FFFFFF" w:themeFill="background1"/>
        </w:rPr>
        <w:t xml:space="preserve">      </w:t>
      </w:r>
      <w:r>
        <w:rPr>
          <w:rFonts w:hint="eastAsia" w:ascii="宋体" w:hAnsi="宋体" w:cs="宋体"/>
          <w:bCs/>
          <w:sz w:val="24"/>
          <w:shd w:val="clear" w:color="auto" w:fill="FFFFFF" w:themeFill="background1"/>
        </w:rPr>
        <w:t>。</w:t>
      </w:r>
    </w:p>
    <w:p w14:paraId="1B1027C0">
      <w:pPr>
        <w:spacing w:line="360" w:lineRule="auto"/>
        <w:ind w:firstLine="480" w:firstLineChars="200"/>
        <w:rPr>
          <w:rFonts w:hint="eastAsia" w:ascii="宋体" w:hAnsi="宋体" w:cs="宋体"/>
          <w:bCs/>
          <w:sz w:val="24"/>
          <w:shd w:val="clear" w:color="auto" w:fill="FFFFFF" w:themeFill="background1"/>
        </w:rPr>
      </w:pPr>
      <w:r>
        <w:rPr>
          <w:rFonts w:hint="eastAsia" w:ascii="宋体" w:hAnsi="宋体" w:cs="宋体"/>
          <w:bCs/>
          <w:sz w:val="24"/>
          <w:shd w:val="clear" w:color="auto" w:fill="FFFFFF" w:themeFill="background1"/>
        </w:rPr>
        <w:t>（产品名称1）</w:t>
      </w:r>
      <w:r>
        <w:rPr>
          <w:rFonts w:hint="eastAsia" w:ascii="宋体" w:hAnsi="宋体" w:cs="宋体"/>
          <w:bCs/>
          <w:sz w:val="24"/>
          <w:u w:val="single"/>
          <w:shd w:val="clear" w:color="auto" w:fill="FFFFFF" w:themeFill="background1"/>
        </w:rPr>
        <w:t xml:space="preserve">      </w:t>
      </w:r>
      <w:r>
        <w:rPr>
          <w:rFonts w:hint="eastAsia" w:ascii="宋体" w:hAnsi="宋体" w:cs="宋体"/>
          <w:bCs/>
          <w:sz w:val="24"/>
          <w:shd w:val="clear" w:color="auto" w:fill="FFFFFF" w:themeFill="background1"/>
        </w:rPr>
        <w:t>的中国境内生产的组件成本占比≥</w:t>
      </w:r>
      <w:r>
        <w:rPr>
          <w:rFonts w:hint="eastAsia" w:ascii="宋体" w:hAnsi="宋体" w:cs="宋体"/>
          <w:bCs/>
          <w:sz w:val="24"/>
          <w:u w:val="single"/>
          <w:shd w:val="clear" w:color="auto" w:fill="FFFFFF" w:themeFill="background1"/>
        </w:rPr>
        <w:t xml:space="preserve">       </w:t>
      </w:r>
      <w:r>
        <w:rPr>
          <w:rFonts w:hint="eastAsia" w:ascii="宋体" w:hAnsi="宋体" w:cs="宋体"/>
          <w:bCs/>
          <w:sz w:val="24"/>
          <w:shd w:val="clear" w:color="auto" w:fill="FFFFFF" w:themeFill="background1"/>
        </w:rPr>
        <w:t>（规定比例）。</w:t>
      </w:r>
    </w:p>
    <w:p w14:paraId="55D1A559">
      <w:pPr>
        <w:spacing w:line="360" w:lineRule="auto"/>
        <w:ind w:firstLine="480" w:firstLineChars="200"/>
        <w:rPr>
          <w:rFonts w:hint="eastAsia" w:ascii="宋体" w:hAnsi="宋体" w:cs="宋体"/>
          <w:bCs/>
          <w:sz w:val="24"/>
          <w:shd w:val="clear" w:color="auto" w:fill="FFFFFF" w:themeFill="background1"/>
        </w:rPr>
      </w:pPr>
      <w:r>
        <w:rPr>
          <w:rFonts w:hint="eastAsia" w:ascii="宋体" w:hAnsi="宋体" w:cs="宋体"/>
          <w:bCs/>
          <w:sz w:val="24"/>
          <w:shd w:val="clear" w:color="auto" w:fill="FFFFFF" w:themeFill="background1"/>
        </w:rPr>
        <w:t>（产品名称1）</w:t>
      </w:r>
      <w:r>
        <w:rPr>
          <w:rFonts w:hint="eastAsia" w:ascii="宋体" w:hAnsi="宋体" w:cs="宋体"/>
          <w:bCs/>
          <w:sz w:val="24"/>
          <w:u w:val="single"/>
          <w:shd w:val="clear" w:color="auto" w:fill="FFFFFF" w:themeFill="background1"/>
        </w:rPr>
        <w:t xml:space="preserve">      </w:t>
      </w:r>
      <w:r>
        <w:rPr>
          <w:rFonts w:hint="eastAsia" w:ascii="宋体" w:hAnsi="宋体" w:cs="宋体"/>
          <w:bCs/>
          <w:sz w:val="24"/>
          <w:shd w:val="clear" w:color="auto" w:fill="FFFFFF" w:themeFill="background1"/>
        </w:rPr>
        <w:t>的（关键组件）在中国境内生产。</w:t>
      </w:r>
    </w:p>
    <w:p w14:paraId="66C134CD">
      <w:pPr>
        <w:spacing w:line="360" w:lineRule="auto"/>
        <w:ind w:firstLine="480" w:firstLineChars="200"/>
        <w:rPr>
          <w:rFonts w:hint="eastAsia" w:ascii="宋体" w:hAnsi="宋体" w:cs="宋体"/>
          <w:bCs/>
          <w:sz w:val="24"/>
          <w:shd w:val="clear" w:color="auto" w:fill="FFFFFF" w:themeFill="background1"/>
        </w:rPr>
      </w:pPr>
      <w:r>
        <w:rPr>
          <w:rFonts w:hint="eastAsia" w:ascii="宋体" w:hAnsi="宋体" w:cs="宋体"/>
          <w:bCs/>
          <w:sz w:val="24"/>
          <w:shd w:val="clear" w:color="auto" w:fill="FFFFFF" w:themeFill="background1"/>
        </w:rPr>
        <w:t>（产品名称1）</w:t>
      </w:r>
      <w:bookmarkStart w:id="218" w:name="OLE_LINK67"/>
      <w:r>
        <w:rPr>
          <w:rFonts w:hint="eastAsia" w:ascii="宋体" w:hAnsi="宋体" w:cs="宋体"/>
          <w:bCs/>
          <w:sz w:val="24"/>
          <w:u w:val="single"/>
          <w:shd w:val="clear" w:color="auto" w:fill="FFFFFF" w:themeFill="background1"/>
        </w:rPr>
        <w:t xml:space="preserve">      </w:t>
      </w:r>
      <w:bookmarkEnd w:id="218"/>
      <w:r>
        <w:rPr>
          <w:rFonts w:hint="eastAsia" w:ascii="宋体" w:hAnsi="宋体" w:cs="宋体"/>
          <w:bCs/>
          <w:sz w:val="24"/>
          <w:shd w:val="clear" w:color="auto" w:fill="FFFFFF" w:themeFill="background1"/>
        </w:rPr>
        <w:t>的（关键工序）在中国境内完成。</w:t>
      </w:r>
    </w:p>
    <w:p w14:paraId="1D1384C6">
      <w:pPr>
        <w:spacing w:line="360" w:lineRule="auto"/>
        <w:ind w:firstLine="480" w:firstLineChars="200"/>
        <w:rPr>
          <w:rFonts w:hint="eastAsia" w:ascii="宋体" w:hAnsi="宋体" w:cs="宋体"/>
          <w:bCs/>
          <w:sz w:val="24"/>
          <w:shd w:val="clear" w:color="auto" w:fill="FFFFFF" w:themeFill="background1"/>
        </w:rPr>
      </w:pPr>
      <w:r>
        <w:rPr>
          <w:rFonts w:hint="eastAsia" w:ascii="宋体" w:hAnsi="宋体" w:cs="宋体"/>
          <w:bCs/>
          <w:sz w:val="24"/>
          <w:shd w:val="clear" w:color="auto" w:fill="FFFFFF" w:themeFill="background1"/>
        </w:rPr>
        <w:t>2.（产品名称2）</w:t>
      </w:r>
      <w:r>
        <w:rPr>
          <w:rFonts w:hint="eastAsia" w:ascii="宋体" w:hAnsi="宋体" w:cs="宋体"/>
          <w:bCs/>
          <w:sz w:val="24"/>
          <w:u w:val="single"/>
          <w:shd w:val="clear" w:color="auto" w:fill="FFFFFF" w:themeFill="background1"/>
        </w:rPr>
        <w:t xml:space="preserve">      </w:t>
      </w:r>
      <w:r>
        <w:rPr>
          <w:rFonts w:hint="eastAsia" w:ascii="宋体" w:hAnsi="宋体" w:cs="宋体"/>
          <w:bCs/>
          <w:sz w:val="24"/>
          <w:shd w:val="clear" w:color="auto" w:fill="FFFFFF" w:themeFill="background1"/>
        </w:rPr>
        <w:t>，生产厂为（厂名）</w:t>
      </w:r>
      <w:r>
        <w:rPr>
          <w:rFonts w:hint="eastAsia" w:ascii="宋体" w:hAnsi="宋体" w:cs="宋体"/>
          <w:bCs/>
          <w:sz w:val="24"/>
          <w:u w:val="single"/>
          <w:shd w:val="clear" w:color="auto" w:fill="FFFFFF" w:themeFill="background1"/>
        </w:rPr>
        <w:t xml:space="preserve">      </w:t>
      </w:r>
      <w:r>
        <w:rPr>
          <w:rFonts w:hint="eastAsia" w:ascii="宋体" w:hAnsi="宋体" w:cs="宋体"/>
          <w:bCs/>
          <w:sz w:val="24"/>
          <w:shd w:val="clear" w:color="auto" w:fill="FFFFFF" w:themeFill="background1"/>
        </w:rPr>
        <w:t>，厂址为（生产厂址）</w:t>
      </w:r>
      <w:r>
        <w:rPr>
          <w:rFonts w:hint="eastAsia" w:ascii="宋体" w:hAnsi="宋体" w:cs="宋体"/>
          <w:bCs/>
          <w:sz w:val="24"/>
          <w:u w:val="single"/>
          <w:shd w:val="clear" w:color="auto" w:fill="FFFFFF" w:themeFill="background1"/>
        </w:rPr>
        <w:t xml:space="preserve">      </w:t>
      </w:r>
      <w:r>
        <w:rPr>
          <w:rFonts w:hint="eastAsia" w:ascii="宋体" w:hAnsi="宋体" w:cs="宋体"/>
          <w:bCs/>
          <w:sz w:val="24"/>
          <w:shd w:val="clear" w:color="auto" w:fill="FFFFFF" w:themeFill="background1"/>
        </w:rPr>
        <w:t>。</w:t>
      </w:r>
    </w:p>
    <w:p w14:paraId="10D973C7">
      <w:pPr>
        <w:spacing w:line="360" w:lineRule="auto"/>
        <w:ind w:firstLine="480" w:firstLineChars="200"/>
        <w:rPr>
          <w:rFonts w:hint="eastAsia" w:ascii="宋体" w:hAnsi="宋体" w:cs="宋体"/>
          <w:bCs/>
          <w:sz w:val="24"/>
          <w:shd w:val="clear" w:color="auto" w:fill="FFFFFF" w:themeFill="background1"/>
        </w:rPr>
      </w:pPr>
      <w:r>
        <w:rPr>
          <w:rFonts w:hint="eastAsia" w:ascii="宋体" w:hAnsi="宋体" w:cs="宋体"/>
          <w:bCs/>
          <w:sz w:val="24"/>
          <w:shd w:val="clear" w:color="auto" w:fill="FFFFFF" w:themeFill="background1"/>
        </w:rPr>
        <w:t>（产品名称2）</w:t>
      </w:r>
      <w:r>
        <w:rPr>
          <w:rFonts w:hint="eastAsia" w:ascii="宋体" w:hAnsi="宋体" w:cs="宋体"/>
          <w:bCs/>
          <w:sz w:val="24"/>
          <w:u w:val="single"/>
          <w:shd w:val="clear" w:color="auto" w:fill="FFFFFF" w:themeFill="background1"/>
        </w:rPr>
        <w:t xml:space="preserve">      </w:t>
      </w:r>
      <w:r>
        <w:rPr>
          <w:rFonts w:hint="eastAsia" w:ascii="宋体" w:hAnsi="宋体" w:cs="宋体"/>
          <w:bCs/>
          <w:sz w:val="24"/>
          <w:shd w:val="clear" w:color="auto" w:fill="FFFFFF" w:themeFill="background1"/>
        </w:rPr>
        <w:t>的中国境内生产的组件成本占比≥</w:t>
      </w:r>
      <w:r>
        <w:rPr>
          <w:rFonts w:hint="eastAsia" w:ascii="宋体" w:hAnsi="宋体" w:cs="宋体"/>
          <w:bCs/>
          <w:sz w:val="24"/>
          <w:u w:val="single"/>
          <w:shd w:val="clear" w:color="auto" w:fill="FFFFFF" w:themeFill="background1"/>
        </w:rPr>
        <w:t xml:space="preserve">       </w:t>
      </w:r>
      <w:r>
        <w:rPr>
          <w:rFonts w:hint="eastAsia" w:ascii="宋体" w:hAnsi="宋体" w:cs="宋体"/>
          <w:bCs/>
          <w:sz w:val="24"/>
          <w:shd w:val="clear" w:color="auto" w:fill="FFFFFF" w:themeFill="background1"/>
        </w:rPr>
        <w:t>（规定比例）。</w:t>
      </w:r>
    </w:p>
    <w:p w14:paraId="013B5697">
      <w:pPr>
        <w:spacing w:line="360" w:lineRule="auto"/>
        <w:ind w:firstLine="480" w:firstLineChars="200"/>
        <w:rPr>
          <w:rFonts w:hint="eastAsia" w:ascii="宋体" w:hAnsi="宋体" w:cs="宋体"/>
          <w:bCs/>
          <w:sz w:val="24"/>
          <w:shd w:val="clear" w:color="auto" w:fill="FFFFFF" w:themeFill="background1"/>
        </w:rPr>
      </w:pPr>
      <w:r>
        <w:rPr>
          <w:rFonts w:hint="eastAsia" w:ascii="宋体" w:hAnsi="宋体" w:cs="宋体"/>
          <w:bCs/>
          <w:sz w:val="24"/>
          <w:shd w:val="clear" w:color="auto" w:fill="FFFFFF" w:themeFill="background1"/>
        </w:rPr>
        <w:t>（产品名称2）</w:t>
      </w:r>
      <w:r>
        <w:rPr>
          <w:rFonts w:hint="eastAsia" w:ascii="宋体" w:hAnsi="宋体" w:cs="宋体"/>
          <w:bCs/>
          <w:sz w:val="24"/>
          <w:u w:val="single"/>
          <w:shd w:val="clear" w:color="auto" w:fill="FFFFFF" w:themeFill="background1"/>
        </w:rPr>
        <w:t xml:space="preserve">      </w:t>
      </w:r>
      <w:r>
        <w:rPr>
          <w:rFonts w:hint="eastAsia" w:ascii="宋体" w:hAnsi="宋体" w:cs="宋体"/>
          <w:bCs/>
          <w:sz w:val="24"/>
          <w:shd w:val="clear" w:color="auto" w:fill="FFFFFF" w:themeFill="background1"/>
        </w:rPr>
        <w:t>的（关键组件）在中国境内生产。</w:t>
      </w:r>
    </w:p>
    <w:p w14:paraId="5C75824C">
      <w:pPr>
        <w:spacing w:line="360" w:lineRule="auto"/>
        <w:ind w:firstLine="480" w:firstLineChars="200"/>
        <w:rPr>
          <w:rFonts w:hint="eastAsia" w:ascii="宋体" w:hAnsi="宋体" w:cs="宋体"/>
          <w:bCs/>
          <w:sz w:val="24"/>
          <w:shd w:val="clear" w:color="auto" w:fill="FFFFFF" w:themeFill="background1"/>
        </w:rPr>
      </w:pPr>
      <w:r>
        <w:rPr>
          <w:rFonts w:hint="eastAsia" w:ascii="宋体" w:hAnsi="宋体" w:cs="宋体"/>
          <w:bCs/>
          <w:sz w:val="24"/>
          <w:shd w:val="clear" w:color="auto" w:fill="FFFFFF" w:themeFill="background1"/>
        </w:rPr>
        <w:t>（产品名称2）</w:t>
      </w:r>
      <w:r>
        <w:rPr>
          <w:rFonts w:hint="eastAsia" w:ascii="宋体" w:hAnsi="宋体" w:cs="宋体"/>
          <w:bCs/>
          <w:sz w:val="24"/>
          <w:u w:val="single"/>
          <w:shd w:val="clear" w:color="auto" w:fill="FFFFFF" w:themeFill="background1"/>
        </w:rPr>
        <w:t xml:space="preserve">      </w:t>
      </w:r>
      <w:r>
        <w:rPr>
          <w:rFonts w:hint="eastAsia" w:ascii="宋体" w:hAnsi="宋体" w:cs="宋体"/>
          <w:bCs/>
          <w:sz w:val="24"/>
          <w:shd w:val="clear" w:color="auto" w:fill="FFFFFF" w:themeFill="background1"/>
        </w:rPr>
        <w:t>的（关键工序）在中国境内完成。</w:t>
      </w:r>
    </w:p>
    <w:p w14:paraId="2314743B">
      <w:pPr>
        <w:spacing w:after="100" w:afterAutospacing="1" w:line="360" w:lineRule="auto"/>
        <w:ind w:firstLine="480" w:firstLineChars="200"/>
        <w:jc w:val="left"/>
        <w:rPr>
          <w:rFonts w:hint="eastAsia" w:ascii="宋体" w:hAnsi="宋体" w:cs="宋体"/>
          <w:bCs/>
          <w:sz w:val="24"/>
          <w:shd w:val="clear" w:color="auto" w:fill="FFFFFF" w:themeFill="background1"/>
        </w:rPr>
      </w:pPr>
      <w:r>
        <w:rPr>
          <w:rFonts w:hint="eastAsia" w:ascii="宋体" w:hAnsi="宋体" w:cs="宋体"/>
          <w:bCs/>
          <w:sz w:val="24"/>
          <w:shd w:val="clear" w:color="auto" w:fill="FFFFFF" w:themeFill="background1"/>
        </w:rPr>
        <w:t>……</w:t>
      </w:r>
    </w:p>
    <w:p w14:paraId="62BBB979">
      <w:pPr>
        <w:spacing w:after="100" w:afterAutospacing="1" w:line="360" w:lineRule="auto"/>
        <w:rPr>
          <w:rFonts w:hint="eastAsia" w:ascii="宋体" w:hAnsi="宋体" w:cs="宋体"/>
          <w:bCs/>
          <w:sz w:val="24"/>
          <w:shd w:val="clear" w:color="auto" w:fill="FFFFFF" w:themeFill="background1"/>
        </w:rPr>
      </w:pPr>
      <w:r>
        <w:rPr>
          <w:rFonts w:hint="eastAsia" w:ascii="宋体" w:hAnsi="宋体" w:cs="宋体"/>
          <w:bCs/>
          <w:sz w:val="24"/>
          <w:shd w:val="clear" w:color="auto" w:fill="FFFFFF" w:themeFill="background1"/>
        </w:rPr>
        <w:t>本公司（单位）对上述声明内容的真实性负责。如有虚假，愿承担相应法律责任。</w:t>
      </w:r>
    </w:p>
    <w:p w14:paraId="56C74015">
      <w:pPr>
        <w:spacing w:after="100" w:afterAutospacing="1" w:line="360" w:lineRule="auto"/>
        <w:rPr>
          <w:rFonts w:hint="eastAsia" w:ascii="宋体" w:hAnsi="宋体" w:cs="宋体"/>
          <w:bCs/>
          <w:sz w:val="24"/>
          <w:shd w:val="clear" w:color="auto" w:fill="FFFFFF" w:themeFill="background1"/>
        </w:rPr>
      </w:pPr>
      <w:r>
        <w:rPr>
          <w:rFonts w:hint="eastAsia" w:ascii="宋体" w:hAnsi="宋体" w:cs="宋体"/>
          <w:bCs/>
          <w:sz w:val="24"/>
          <w:shd w:val="clear" w:color="auto" w:fill="FFFFFF" w:themeFill="background1"/>
        </w:rPr>
        <w:t>公司（单位）名称（盖章）：</w:t>
      </w:r>
    </w:p>
    <w:p w14:paraId="34F23966">
      <w:pPr>
        <w:tabs>
          <w:tab w:val="left" w:pos="3757"/>
        </w:tabs>
        <w:spacing w:after="100" w:afterAutospacing="1" w:line="360" w:lineRule="auto"/>
        <w:rPr>
          <w:rFonts w:hint="eastAsia" w:ascii="宋体" w:hAnsi="宋体" w:cs="宋体"/>
          <w:bCs/>
          <w:sz w:val="24"/>
          <w:shd w:val="clear" w:color="auto" w:fill="FFFFFF" w:themeFill="background1"/>
        </w:rPr>
      </w:pPr>
      <w:r>
        <w:rPr>
          <w:rFonts w:hint="eastAsia" w:ascii="宋体" w:hAnsi="宋体" w:cs="宋体"/>
          <w:bCs/>
          <w:sz w:val="24"/>
          <w:shd w:val="clear" w:color="auto" w:fill="FFFFFF" w:themeFill="background1"/>
        </w:rPr>
        <w:t>日期：     年    月    日</w:t>
      </w:r>
      <w:r>
        <w:rPr>
          <w:rFonts w:hint="eastAsia" w:ascii="宋体" w:hAnsi="宋体" w:cs="宋体"/>
          <w:bCs/>
          <w:sz w:val="24"/>
          <w:shd w:val="clear" w:color="auto" w:fill="FFFFFF" w:themeFill="background1"/>
        </w:rPr>
        <w:tab/>
      </w:r>
    </w:p>
    <w:p w14:paraId="4B90DABE">
      <w:pPr>
        <w:spacing w:line="360" w:lineRule="auto"/>
        <w:rPr>
          <w:rFonts w:hint="eastAsia" w:ascii="宋体" w:hAnsi="宋体" w:cs="宋体"/>
          <w:bCs/>
          <w:sz w:val="24"/>
          <w:shd w:val="clear" w:color="auto" w:fill="FFFFFF" w:themeFill="background1"/>
        </w:rPr>
      </w:pPr>
      <w:r>
        <w:rPr>
          <w:rFonts w:hint="eastAsia" w:ascii="宋体" w:hAnsi="宋体" w:cs="宋体"/>
          <w:bCs/>
          <w:sz w:val="24"/>
          <w:shd w:val="clear" w:color="auto" w:fill="FFFFFF" w:themeFill="background1"/>
        </w:rPr>
        <w:t>（1）产品如有型号，请在“产品名称”栏一并填写。</w:t>
      </w:r>
    </w:p>
    <w:p w14:paraId="0F2478F4">
      <w:pPr>
        <w:spacing w:line="360" w:lineRule="auto"/>
        <w:rPr>
          <w:rFonts w:hint="eastAsia" w:ascii="宋体" w:hAnsi="宋体" w:cs="宋体"/>
          <w:bCs/>
          <w:sz w:val="24"/>
          <w:shd w:val="clear" w:color="auto" w:fill="FFFFFF" w:themeFill="background1"/>
        </w:rPr>
      </w:pPr>
      <w:r>
        <w:rPr>
          <w:rFonts w:hint="eastAsia" w:ascii="宋体" w:hAnsi="宋体" w:cs="宋体"/>
          <w:bCs/>
          <w:sz w:val="24"/>
          <w:shd w:val="clear" w:color="auto" w:fill="FFFFFF" w:themeFill="background1"/>
        </w:rPr>
        <w:t>（2）生产厂名与厂址应与生产厂营业执照载明的相关信息保持一致。</w:t>
      </w:r>
    </w:p>
    <w:p w14:paraId="0540D886">
      <w:pPr>
        <w:spacing w:line="360" w:lineRule="auto"/>
        <w:rPr>
          <w:rFonts w:hint="eastAsia" w:ascii="宋体" w:hAnsi="宋体" w:cs="宋体"/>
          <w:bCs/>
          <w:sz w:val="24"/>
          <w:shd w:val="clear" w:color="auto" w:fill="FFFFFF" w:themeFill="background1"/>
        </w:rPr>
      </w:pPr>
      <w:r>
        <w:rPr>
          <w:rFonts w:hint="eastAsia" w:ascii="宋体" w:hAnsi="宋体" w:cs="宋体"/>
          <w:bCs/>
          <w:sz w:val="24"/>
          <w:shd w:val="clear" w:color="auto" w:fill="FFFFFF" w:themeFill="background1"/>
        </w:rPr>
        <w:t>（3）该产品的中国境内生产的组件成本占比相关要求实施前，“规定比例”栏可不填，下同。</w:t>
      </w:r>
    </w:p>
    <w:p w14:paraId="23BF42C8">
      <w:pPr>
        <w:spacing w:line="360" w:lineRule="auto"/>
        <w:rPr>
          <w:rFonts w:hint="eastAsia" w:ascii="宋体" w:hAnsi="宋体" w:cs="宋体"/>
          <w:bCs/>
          <w:sz w:val="24"/>
          <w:shd w:val="clear" w:color="auto" w:fill="FFFFFF" w:themeFill="background1"/>
        </w:rPr>
      </w:pPr>
      <w:r>
        <w:rPr>
          <w:rFonts w:hint="eastAsia" w:ascii="宋体" w:hAnsi="宋体" w:cs="宋体"/>
          <w:bCs/>
          <w:sz w:val="24"/>
          <w:shd w:val="clear" w:color="auto" w:fill="FFFFFF" w:themeFill="background1"/>
        </w:rPr>
        <w:t>（4）该产品的关键组件要求实施前，“关键组件”栏可不填，下同。</w:t>
      </w:r>
    </w:p>
    <w:p w14:paraId="7B71ABAC">
      <w:pPr>
        <w:spacing w:line="360" w:lineRule="auto"/>
        <w:rPr>
          <w:rFonts w:hint="eastAsia" w:ascii="宋体" w:hAnsi="宋体" w:cs="宋体"/>
          <w:bCs/>
          <w:sz w:val="24"/>
          <w:shd w:val="clear" w:color="auto" w:fill="FFFFFF" w:themeFill="background1"/>
        </w:rPr>
      </w:pPr>
      <w:r>
        <w:rPr>
          <w:rFonts w:hint="eastAsia" w:ascii="宋体" w:hAnsi="宋体" w:cs="宋体"/>
          <w:bCs/>
          <w:sz w:val="24"/>
          <w:shd w:val="clear" w:color="auto" w:fill="FFFFFF" w:themeFill="background1"/>
        </w:rPr>
        <w:t>（5）该产品的关键工序要求实施前，“关键工序”栏可不填，下同。</w:t>
      </w:r>
    </w:p>
    <w:p w14:paraId="52D3EE74">
      <w:pPr>
        <w:spacing w:line="360" w:lineRule="auto"/>
        <w:rPr>
          <w:rFonts w:hint="eastAsia" w:ascii="宋体" w:hAnsi="宋体" w:cs="宋体"/>
        </w:rPr>
      </w:pPr>
    </w:p>
    <w:p w14:paraId="276FB37B">
      <w:pPr>
        <w:spacing w:line="360" w:lineRule="auto"/>
        <w:rPr>
          <w:rFonts w:hint="eastAsia" w:ascii="宋体" w:hAnsi="宋体" w:cs="宋体"/>
          <w:sz w:val="24"/>
        </w:rPr>
      </w:pPr>
      <w:r>
        <w:rPr>
          <w:rFonts w:hint="eastAsia" w:ascii="宋体" w:hAnsi="宋体" w:cs="宋体"/>
          <w:sz w:val="24"/>
        </w:rPr>
        <w:br w:type="page"/>
      </w:r>
    </w:p>
    <w:p w14:paraId="03453946">
      <w:pPr>
        <w:spacing w:line="360" w:lineRule="auto"/>
        <w:rPr>
          <w:rFonts w:hint="eastAsia" w:ascii="宋体" w:hAnsi="宋体" w:cs="宋体"/>
          <w:sz w:val="24"/>
        </w:rPr>
      </w:pPr>
      <w:r>
        <w:rPr>
          <w:rFonts w:hint="eastAsia" w:ascii="宋体" w:hAnsi="宋体" w:cs="宋体"/>
          <w:sz w:val="24"/>
        </w:rPr>
        <w:t>关于《</w:t>
      </w:r>
      <w:r>
        <w:rPr>
          <w:rFonts w:hint="eastAsia" w:ascii="宋体" w:hAnsi="宋体" w:cs="宋体"/>
          <w:b/>
          <w:sz w:val="24"/>
        </w:rPr>
        <w:t>关于符合本国产品标准的声明函</w:t>
      </w:r>
      <w:r>
        <w:rPr>
          <w:rFonts w:hint="eastAsia" w:ascii="宋体" w:hAnsi="宋体" w:cs="宋体"/>
          <w:sz w:val="24"/>
        </w:rPr>
        <w:t>》的说明：</w:t>
      </w:r>
    </w:p>
    <w:p w14:paraId="11B2DFC4">
      <w:pPr>
        <w:spacing w:line="360" w:lineRule="auto"/>
        <w:rPr>
          <w:rFonts w:hint="eastAsia" w:ascii="宋体" w:hAnsi="宋体" w:cs="宋体"/>
          <w:sz w:val="24"/>
        </w:rPr>
      </w:pPr>
      <w:r>
        <w:rPr>
          <w:rFonts w:hint="eastAsia" w:ascii="宋体" w:hAnsi="宋体" w:cs="宋体"/>
          <w:sz w:val="24"/>
        </w:rPr>
        <w:t>（1）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63F1190">
      <w:pPr>
        <w:spacing w:line="360" w:lineRule="auto"/>
        <w:rPr>
          <w:rFonts w:hint="eastAsia" w:ascii="宋体" w:hAnsi="宋体" w:cs="宋体"/>
          <w:sz w:val="24"/>
        </w:rPr>
      </w:pPr>
      <w:r>
        <w:rPr>
          <w:rFonts w:hint="eastAsia" w:ascii="宋体" w:hAnsi="宋体" w:cs="宋体"/>
          <w:sz w:val="24"/>
        </w:rPr>
        <w:t>（2）根据《国务院办公厅关于在政府采购中实施本国产品标准及相关政策的通知》规定，在分产品确定在中国境内生产的组件成本占比要求，以及特定产品的关键组件、关键工序相关要求实施前，本国产品应当符合以下条件：产品应当在中国境内生产，即在中华人民共和国关境内实现从原材料、组件到产品的属性改变。属性改变是指经过制造、加工或者组装等工序，产生完全不同于原材料、组件的新产品，并具有新的名称和特征（用途）。属性改变不包括以下细微操作：</w:t>
      </w:r>
    </w:p>
    <w:p w14:paraId="0C918401">
      <w:pPr>
        <w:spacing w:line="360" w:lineRule="auto"/>
        <w:rPr>
          <w:rFonts w:hint="eastAsia" w:ascii="宋体" w:hAnsi="宋体" w:cs="宋体"/>
          <w:sz w:val="24"/>
        </w:rPr>
      </w:pPr>
      <w:r>
        <w:rPr>
          <w:rFonts w:hint="eastAsia" w:ascii="宋体" w:hAnsi="宋体" w:cs="宋体"/>
          <w:sz w:val="24"/>
        </w:rPr>
        <w:t>1.为确保产品在运输或者储存期间保持某种状态而进行的操作；</w:t>
      </w:r>
    </w:p>
    <w:p w14:paraId="4581C0CD">
      <w:pPr>
        <w:spacing w:line="360" w:lineRule="auto"/>
        <w:rPr>
          <w:rFonts w:hint="eastAsia" w:ascii="宋体" w:hAnsi="宋体" w:cs="宋体"/>
          <w:sz w:val="24"/>
        </w:rPr>
      </w:pPr>
      <w:r>
        <w:rPr>
          <w:rFonts w:hint="eastAsia" w:ascii="宋体" w:hAnsi="宋体" w:cs="宋体"/>
          <w:sz w:val="24"/>
        </w:rPr>
        <w:t>2.为产品运输或者销售进行的包装或者展示；</w:t>
      </w:r>
    </w:p>
    <w:p w14:paraId="1DCE5948">
      <w:pPr>
        <w:spacing w:line="360" w:lineRule="auto"/>
        <w:rPr>
          <w:rFonts w:hint="eastAsia" w:ascii="宋体" w:hAnsi="宋体" w:cs="宋体"/>
          <w:sz w:val="24"/>
        </w:rPr>
      </w:pPr>
      <w:r>
        <w:rPr>
          <w:rFonts w:hint="eastAsia" w:ascii="宋体" w:hAnsi="宋体" w:cs="宋体"/>
          <w:sz w:val="24"/>
        </w:rPr>
        <w:t>3.在产品或者其包装上粘贴或者印刷品牌、标志、标识以及其他用于区别的标记；</w:t>
      </w:r>
    </w:p>
    <w:p w14:paraId="1043ECB6">
      <w:pPr>
        <w:spacing w:line="360" w:lineRule="auto"/>
        <w:rPr>
          <w:rFonts w:hint="eastAsia" w:ascii="宋体" w:hAnsi="宋体" w:cs="宋体"/>
          <w:sz w:val="24"/>
        </w:rPr>
      </w:pPr>
      <w:r>
        <w:rPr>
          <w:rFonts w:hint="eastAsia" w:ascii="宋体" w:hAnsi="宋体" w:cs="宋体"/>
          <w:sz w:val="24"/>
        </w:rPr>
        <w:t>4.简单地上漆、磨光和分装；</w:t>
      </w:r>
    </w:p>
    <w:p w14:paraId="18DCB585">
      <w:pPr>
        <w:spacing w:line="360" w:lineRule="auto"/>
        <w:rPr>
          <w:rFonts w:hint="eastAsia" w:ascii="宋体" w:hAnsi="宋体" w:cs="宋体"/>
          <w:sz w:val="24"/>
        </w:rPr>
      </w:pPr>
      <w:r>
        <w:rPr>
          <w:rFonts w:hint="eastAsia" w:ascii="宋体" w:hAnsi="宋体" w:cs="宋体"/>
          <w:sz w:val="24"/>
        </w:rPr>
        <w:t>5.其他不属于属性改变的情形。</w:t>
      </w:r>
    </w:p>
    <w:p w14:paraId="662C7A05">
      <w:pPr>
        <w:spacing w:line="360" w:lineRule="auto"/>
        <w:rPr>
          <w:rFonts w:hint="eastAsia" w:ascii="宋体" w:hAnsi="宋体" w:cs="宋体"/>
          <w:sz w:val="24"/>
        </w:rPr>
      </w:pPr>
      <w:r>
        <w:rPr>
          <w:rFonts w:hint="eastAsia" w:ascii="宋体" w:hAnsi="宋体" w:cs="宋体"/>
          <w:sz w:val="24"/>
        </w:rPr>
        <w:t>（3）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5351EF53">
      <w:pPr>
        <w:spacing w:line="360" w:lineRule="auto"/>
        <w:rPr>
          <w:rFonts w:hint="eastAsia" w:ascii="宋体" w:hAnsi="宋体" w:cs="宋体"/>
          <w:b/>
          <w:bCs/>
          <w:sz w:val="24"/>
        </w:rPr>
      </w:pPr>
      <w:r>
        <w:rPr>
          <w:rFonts w:hint="eastAsia" w:ascii="宋体" w:hAnsi="宋体" w:cs="宋体"/>
          <w:b/>
          <w:bCs/>
          <w:sz w:val="24"/>
        </w:rPr>
        <w:t>（4）当采购项目中含有多种产品的，投标人还应当提供《关于本国产品比例的声明函》，承诺提供的符合本国产品标准的产品成本之和占提供的全部产品成本之和的比例达到80%，如投标人未按照前述要求提供相关内容的，不享受本国产品的支持政策。</w:t>
      </w:r>
    </w:p>
    <w:p w14:paraId="0957375F">
      <w:pPr>
        <w:spacing w:line="360" w:lineRule="auto"/>
        <w:rPr>
          <w:rFonts w:hint="eastAsia" w:ascii="宋体" w:hAnsi="宋体" w:cs="宋体"/>
        </w:rPr>
      </w:pPr>
      <w:r>
        <w:rPr>
          <w:rFonts w:hint="eastAsia" w:ascii="宋体" w:hAnsi="宋体" w:cs="宋体"/>
          <w:b/>
          <w:bCs/>
          <w:sz w:val="24"/>
        </w:rPr>
        <w:t>（5）中标人提供的本声明函将随中标结果同时公告。</w:t>
      </w:r>
    </w:p>
    <w:p w14:paraId="71F3E06B">
      <w:pPr>
        <w:pStyle w:val="6"/>
        <w:spacing w:after="0" w:line="360" w:lineRule="auto"/>
        <w:rPr>
          <w:rFonts w:hint="eastAsia" w:ascii="宋体" w:hAnsi="宋体" w:cs="宋体"/>
        </w:rPr>
      </w:pPr>
    </w:p>
    <w:p w14:paraId="33F56FD1">
      <w:pPr>
        <w:spacing w:line="360" w:lineRule="auto"/>
        <w:rPr>
          <w:rFonts w:hint="eastAsia" w:ascii="宋体" w:hAnsi="宋体" w:cs="宋体"/>
        </w:rPr>
      </w:pPr>
    </w:p>
    <w:p w14:paraId="69CF8402">
      <w:pPr>
        <w:spacing w:line="360" w:lineRule="auto"/>
        <w:rPr>
          <w:rFonts w:hint="eastAsia" w:ascii="宋体" w:hAnsi="宋体" w:cs="宋体"/>
        </w:rPr>
      </w:pPr>
    </w:p>
    <w:p w14:paraId="59082DD2">
      <w:pPr>
        <w:spacing w:line="360" w:lineRule="auto"/>
        <w:jc w:val="center"/>
        <w:rPr>
          <w:rFonts w:hint="eastAsia" w:ascii="宋体" w:hAnsi="宋体" w:cs="宋体"/>
          <w:b/>
          <w:sz w:val="28"/>
          <w:szCs w:val="28"/>
          <w:shd w:val="clear" w:color="auto" w:fill="FFFFFF" w:themeFill="background1"/>
        </w:rPr>
      </w:pPr>
      <w:r>
        <w:rPr>
          <w:rFonts w:hint="eastAsia" w:ascii="宋体" w:hAnsi="宋体" w:cs="宋体"/>
          <w:b/>
          <w:sz w:val="24"/>
          <w:shd w:val="clear" w:color="auto" w:fill="FFFFFF" w:themeFill="background1"/>
        </w:rPr>
        <w:br w:type="page"/>
      </w:r>
      <w:r>
        <w:rPr>
          <w:rFonts w:hint="eastAsia" w:ascii="宋体" w:hAnsi="宋体" w:cs="宋体"/>
          <w:b/>
          <w:sz w:val="28"/>
          <w:szCs w:val="28"/>
          <w:shd w:val="clear" w:color="auto" w:fill="FFFFFF" w:themeFill="background1"/>
        </w:rPr>
        <w:t>（六）关于本国产品比例的声明函</w:t>
      </w:r>
    </w:p>
    <w:p w14:paraId="29D2BD1D">
      <w:pPr>
        <w:snapToGrid w:val="0"/>
        <w:spacing w:line="360" w:lineRule="auto"/>
        <w:ind w:firstLine="420" w:firstLineChars="200"/>
        <w:rPr>
          <w:rFonts w:hint="eastAsia" w:ascii="宋体" w:hAnsi="宋体" w:cs="宋体"/>
          <w:szCs w:val="21"/>
        </w:rPr>
      </w:pPr>
    </w:p>
    <w:p w14:paraId="14ADC3A0">
      <w:pPr>
        <w:widowControl/>
        <w:spacing w:line="360" w:lineRule="auto"/>
        <w:ind w:firstLine="480" w:firstLineChars="200"/>
        <w:rPr>
          <w:rFonts w:hint="eastAsia" w:ascii="宋体" w:hAnsi="宋体" w:cs="宋体"/>
          <w:sz w:val="24"/>
          <w:lang w:bidi="ar"/>
        </w:rPr>
      </w:pPr>
      <w:r>
        <w:rPr>
          <w:rFonts w:hint="eastAsia" w:ascii="宋体" w:hAnsi="宋体" w:cs="宋体"/>
          <w:sz w:val="24"/>
          <w:lang w:bidi="ar"/>
        </w:rPr>
        <w:t>本公司（单位）郑重声明，根据《国务院办公厅关于在政府采购中实施本国产品标准及相关政策的通知》（国办发〔2025〕34号）的规定，本公司（单位）提供的符合本国产品标准的产品成本之和占提供的全部产品成本之和的比例达到80%。</w:t>
      </w:r>
    </w:p>
    <w:p w14:paraId="69368C8A">
      <w:pPr>
        <w:spacing w:line="360" w:lineRule="auto"/>
        <w:ind w:firstLine="480" w:firstLineChars="200"/>
        <w:rPr>
          <w:rFonts w:hint="eastAsia" w:ascii="宋体" w:hAnsi="宋体" w:cs="宋体"/>
          <w:b/>
          <w:sz w:val="24"/>
          <w:shd w:val="clear" w:color="auto" w:fill="FFFFFF" w:themeFill="background1"/>
        </w:rPr>
      </w:pPr>
      <w:r>
        <w:rPr>
          <w:rFonts w:hint="eastAsia" w:ascii="宋体" w:hAnsi="宋体" w:cs="宋体"/>
          <w:sz w:val="24"/>
          <w:lang w:bidi="ar"/>
        </w:rPr>
        <w:t>本公司（单位）对上述声明内容的真实性负责。如有虚假，愿承担相应法律责任。</w:t>
      </w:r>
    </w:p>
    <w:p w14:paraId="6CBA8BE8">
      <w:pPr>
        <w:spacing w:line="360" w:lineRule="auto"/>
        <w:rPr>
          <w:rFonts w:hint="eastAsia" w:ascii="宋体" w:hAnsi="宋体" w:cs="宋体"/>
          <w:b/>
          <w:sz w:val="24"/>
          <w:shd w:val="clear" w:color="auto" w:fill="FFFFFF" w:themeFill="background1"/>
        </w:rPr>
      </w:pPr>
    </w:p>
    <w:p w14:paraId="4B963433">
      <w:pPr>
        <w:spacing w:line="360" w:lineRule="auto"/>
        <w:rPr>
          <w:rFonts w:hint="eastAsia" w:ascii="宋体" w:hAnsi="宋体" w:cs="宋体"/>
          <w:b/>
          <w:sz w:val="24"/>
          <w:shd w:val="clear" w:color="auto" w:fill="FFFFFF" w:themeFill="background1"/>
        </w:rPr>
      </w:pPr>
    </w:p>
    <w:p w14:paraId="5C5D582D">
      <w:pPr>
        <w:spacing w:line="360" w:lineRule="auto"/>
        <w:rPr>
          <w:rFonts w:hint="eastAsia" w:ascii="宋体" w:hAnsi="宋体" w:cs="宋体"/>
          <w:b/>
          <w:sz w:val="24"/>
          <w:shd w:val="clear" w:color="auto" w:fill="FFFFFF" w:themeFill="background1"/>
        </w:rPr>
      </w:pPr>
    </w:p>
    <w:p w14:paraId="040C936A">
      <w:pPr>
        <w:spacing w:line="360" w:lineRule="auto"/>
        <w:rPr>
          <w:rFonts w:hint="eastAsia" w:ascii="宋体" w:hAnsi="宋体" w:cs="宋体"/>
          <w:b/>
          <w:sz w:val="24"/>
          <w:shd w:val="clear" w:color="auto" w:fill="FFFFFF" w:themeFill="background1"/>
        </w:rPr>
      </w:pPr>
    </w:p>
    <w:p w14:paraId="717FED8C">
      <w:pPr>
        <w:widowControl/>
        <w:spacing w:line="360" w:lineRule="auto"/>
        <w:rPr>
          <w:rFonts w:hint="eastAsia" w:ascii="宋体" w:hAnsi="宋体" w:cs="宋体"/>
          <w:sz w:val="24"/>
          <w:lang w:bidi="ar"/>
        </w:rPr>
      </w:pPr>
      <w:r>
        <w:rPr>
          <w:rFonts w:hint="eastAsia" w:ascii="宋体" w:hAnsi="宋体" w:cs="宋体"/>
          <w:sz w:val="24"/>
          <w:lang w:bidi="ar"/>
        </w:rPr>
        <w:t>公司（单位）名称（盖章）：</w:t>
      </w:r>
      <w:r>
        <w:rPr>
          <w:rFonts w:hint="eastAsia" w:ascii="宋体" w:hAnsi="宋体" w:cs="宋体"/>
          <w:sz w:val="24"/>
          <w:u w:val="single"/>
          <w:lang w:bidi="ar"/>
        </w:rPr>
        <w:t>　           </w:t>
      </w:r>
      <w:r>
        <w:rPr>
          <w:rFonts w:hint="eastAsia" w:ascii="宋体" w:hAnsi="宋体" w:cs="宋体"/>
          <w:sz w:val="24"/>
          <w:lang w:bidi="ar"/>
        </w:rPr>
        <w:t> </w:t>
      </w:r>
    </w:p>
    <w:p w14:paraId="53C8FBDC">
      <w:pPr>
        <w:spacing w:line="360" w:lineRule="auto"/>
        <w:rPr>
          <w:rFonts w:hint="eastAsia" w:ascii="宋体" w:hAnsi="宋体" w:cs="宋体"/>
          <w:b/>
          <w:sz w:val="24"/>
          <w:shd w:val="clear" w:color="auto" w:fill="FFFFFF"/>
        </w:rPr>
      </w:pPr>
      <w:r>
        <w:rPr>
          <w:rFonts w:hint="eastAsia" w:ascii="宋体" w:hAnsi="宋体" w:cs="宋体"/>
          <w:sz w:val="24"/>
          <w:lang w:bidi="ar"/>
        </w:rPr>
        <w:t>日期：</w:t>
      </w:r>
      <w:r>
        <w:rPr>
          <w:rFonts w:hint="eastAsia" w:ascii="宋体" w:hAnsi="宋体" w:cs="宋体"/>
          <w:sz w:val="24"/>
          <w:u w:val="single"/>
          <w:lang w:bidi="ar"/>
        </w:rPr>
        <w:t>　     </w:t>
      </w:r>
      <w:r>
        <w:rPr>
          <w:rFonts w:hint="eastAsia" w:ascii="宋体" w:hAnsi="宋体" w:cs="宋体"/>
          <w:sz w:val="24"/>
          <w:lang w:bidi="ar"/>
        </w:rPr>
        <w:t>年</w:t>
      </w:r>
      <w:r>
        <w:rPr>
          <w:rFonts w:hint="eastAsia" w:ascii="宋体" w:hAnsi="宋体" w:cs="宋体"/>
          <w:sz w:val="24"/>
          <w:u w:val="single"/>
          <w:lang w:bidi="ar"/>
        </w:rPr>
        <w:t>　  </w:t>
      </w:r>
      <w:r>
        <w:rPr>
          <w:rFonts w:hint="eastAsia" w:ascii="宋体" w:hAnsi="宋体" w:cs="宋体"/>
          <w:sz w:val="24"/>
          <w:lang w:bidi="ar"/>
        </w:rPr>
        <w:t>月</w:t>
      </w:r>
      <w:r>
        <w:rPr>
          <w:rFonts w:hint="eastAsia" w:ascii="宋体" w:hAnsi="宋体" w:cs="宋体"/>
          <w:sz w:val="24"/>
          <w:u w:val="single"/>
          <w:lang w:bidi="ar"/>
        </w:rPr>
        <w:t>　  </w:t>
      </w:r>
      <w:r>
        <w:rPr>
          <w:rFonts w:hint="eastAsia" w:ascii="宋体" w:hAnsi="宋体" w:cs="宋体"/>
          <w:sz w:val="24"/>
          <w:lang w:bidi="ar"/>
        </w:rPr>
        <w:t>日</w:t>
      </w:r>
      <w:r>
        <w:rPr>
          <w:rFonts w:hint="eastAsia" w:ascii="宋体" w:hAnsi="宋体" w:cs="宋体"/>
          <w:b/>
          <w:sz w:val="24"/>
          <w:shd w:val="clear" w:color="auto" w:fill="FFFFFF" w:themeFill="background1"/>
        </w:rPr>
        <w:br w:type="page"/>
      </w:r>
    </w:p>
    <w:p w14:paraId="60730541">
      <w:pPr>
        <w:pStyle w:val="6"/>
        <w:spacing w:line="360" w:lineRule="auto"/>
        <w:jc w:val="center"/>
        <w:rPr>
          <w:rFonts w:hint="eastAsia" w:ascii="宋体" w:hAnsi="宋体" w:cs="宋体"/>
          <w:b/>
          <w:sz w:val="28"/>
          <w:szCs w:val="28"/>
          <w:shd w:val="clear" w:color="auto" w:fill="FFFFFF"/>
        </w:rPr>
      </w:pPr>
      <w:r>
        <w:rPr>
          <w:rFonts w:hint="eastAsia" w:ascii="宋体" w:hAnsi="宋体" w:cs="宋体"/>
          <w:b/>
          <w:sz w:val="28"/>
          <w:szCs w:val="28"/>
          <w:shd w:val="clear" w:color="auto" w:fill="FFFFFF"/>
        </w:rPr>
        <w:t>（七）投标人认为需要提供的其它资料。</w:t>
      </w:r>
    </w:p>
    <w:p w14:paraId="379D82C1">
      <w:pPr>
        <w:shd w:val="solid" w:color="FFFFFF" w:fill="auto"/>
        <w:autoSpaceDN w:val="0"/>
        <w:spacing w:line="360" w:lineRule="auto"/>
        <w:jc w:val="center"/>
        <w:outlineLvl w:val="1"/>
        <w:rPr>
          <w:rFonts w:hint="eastAsia" w:ascii="宋体" w:hAnsi="宋体" w:cs="宋体"/>
          <w:b/>
          <w:sz w:val="32"/>
          <w:szCs w:val="32"/>
          <w:shd w:val="clear" w:color="auto" w:fill="FFFFFF"/>
        </w:rPr>
      </w:pPr>
      <w:r>
        <w:rPr>
          <w:rFonts w:hint="eastAsia" w:ascii="宋体" w:hAnsi="宋体" w:cs="宋体"/>
        </w:rPr>
        <w:br w:type="page"/>
      </w:r>
      <w:bookmarkStart w:id="219" w:name="_Toc25635"/>
      <w:bookmarkStart w:id="220" w:name="_Toc1565"/>
      <w:bookmarkStart w:id="221" w:name="_Toc21652"/>
      <w:bookmarkStart w:id="222" w:name="_Toc14315"/>
      <w:r>
        <w:rPr>
          <w:rFonts w:hint="eastAsia" w:ascii="宋体" w:hAnsi="宋体" w:cs="宋体"/>
          <w:b/>
          <w:sz w:val="32"/>
          <w:szCs w:val="32"/>
          <w:shd w:val="clear" w:color="auto" w:fill="FFFFFF"/>
        </w:rPr>
        <w:t>十、资格审查资料</w:t>
      </w:r>
      <w:bookmarkEnd w:id="219"/>
      <w:bookmarkEnd w:id="220"/>
      <w:bookmarkEnd w:id="221"/>
      <w:bookmarkEnd w:id="222"/>
    </w:p>
    <w:p w14:paraId="30ADEE6C">
      <w:pPr>
        <w:shd w:val="solid" w:color="FFFFFF" w:fill="auto"/>
        <w:autoSpaceDN w:val="0"/>
        <w:spacing w:line="360" w:lineRule="auto"/>
        <w:jc w:val="center"/>
        <w:outlineLvl w:val="1"/>
        <w:rPr>
          <w:rFonts w:hint="eastAsia" w:ascii="宋体" w:hAnsi="宋体" w:cs="宋体"/>
          <w:sz w:val="32"/>
          <w:szCs w:val="32"/>
          <w:shd w:val="clear" w:color="auto" w:fill="FFFFFF"/>
        </w:rPr>
      </w:pPr>
      <w:bookmarkStart w:id="223" w:name="_Toc17868"/>
      <w:bookmarkStart w:id="224" w:name="_Toc18533"/>
      <w:bookmarkStart w:id="225" w:name="_Toc29005"/>
      <w:bookmarkStart w:id="226" w:name="_Toc16142"/>
      <w:r>
        <w:rPr>
          <w:rFonts w:hint="eastAsia" w:ascii="宋体" w:hAnsi="宋体" w:cs="宋体"/>
          <w:b/>
          <w:sz w:val="32"/>
          <w:szCs w:val="32"/>
          <w:shd w:val="clear" w:color="auto" w:fill="FFFFFF"/>
        </w:rPr>
        <w:t>（一）投标人基本情况表</w:t>
      </w:r>
      <w:bookmarkEnd w:id="223"/>
      <w:bookmarkEnd w:id="224"/>
      <w:bookmarkEnd w:id="225"/>
      <w:bookmarkEnd w:id="226"/>
    </w:p>
    <w:tbl>
      <w:tblPr>
        <w:tblStyle w:val="2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1701"/>
        <w:gridCol w:w="1026"/>
        <w:gridCol w:w="1304"/>
        <w:gridCol w:w="765"/>
        <w:gridCol w:w="858"/>
        <w:gridCol w:w="481"/>
        <w:gridCol w:w="667"/>
        <w:gridCol w:w="1566"/>
      </w:tblGrid>
      <w:tr w14:paraId="1BE48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80" w:hRule="atLeast"/>
          <w:jc w:val="center"/>
        </w:trPr>
        <w:tc>
          <w:tcPr>
            <w:tcW w:w="1701" w:type="dxa"/>
            <w:vAlign w:val="center"/>
          </w:tcPr>
          <w:p w14:paraId="1BA06394">
            <w:pPr>
              <w:adjustRightInd w:val="0"/>
              <w:snapToGrid w:val="0"/>
              <w:spacing w:line="360" w:lineRule="auto"/>
              <w:jc w:val="center"/>
              <w:rPr>
                <w:rFonts w:hint="eastAsia" w:ascii="宋体" w:hAnsi="宋体" w:cs="宋体"/>
                <w:sz w:val="24"/>
              </w:rPr>
            </w:pPr>
            <w:r>
              <w:rPr>
                <w:rFonts w:hint="eastAsia" w:ascii="宋体" w:hAnsi="宋体" w:cs="宋体"/>
                <w:sz w:val="24"/>
              </w:rPr>
              <w:t>单位名称</w:t>
            </w:r>
          </w:p>
        </w:tc>
        <w:tc>
          <w:tcPr>
            <w:tcW w:w="6667" w:type="dxa"/>
            <w:gridSpan w:val="7"/>
            <w:vAlign w:val="center"/>
          </w:tcPr>
          <w:p w14:paraId="7318DD09">
            <w:pPr>
              <w:adjustRightInd w:val="0"/>
              <w:snapToGrid w:val="0"/>
              <w:spacing w:line="360" w:lineRule="auto"/>
              <w:jc w:val="center"/>
              <w:rPr>
                <w:rFonts w:hint="eastAsia" w:ascii="宋体" w:hAnsi="宋体" w:cs="宋体"/>
                <w:sz w:val="24"/>
              </w:rPr>
            </w:pPr>
          </w:p>
        </w:tc>
      </w:tr>
      <w:tr w14:paraId="12207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80" w:hRule="atLeast"/>
          <w:jc w:val="center"/>
        </w:trPr>
        <w:tc>
          <w:tcPr>
            <w:tcW w:w="1701" w:type="dxa"/>
            <w:vAlign w:val="center"/>
          </w:tcPr>
          <w:p w14:paraId="29D894B5">
            <w:pPr>
              <w:adjustRightInd w:val="0"/>
              <w:snapToGrid w:val="0"/>
              <w:spacing w:line="360" w:lineRule="auto"/>
              <w:jc w:val="center"/>
              <w:rPr>
                <w:rFonts w:hint="eastAsia" w:ascii="宋体" w:hAnsi="宋体" w:cs="宋体"/>
                <w:sz w:val="24"/>
              </w:rPr>
            </w:pPr>
            <w:r>
              <w:rPr>
                <w:rFonts w:hint="eastAsia" w:ascii="宋体" w:hAnsi="宋体" w:cs="宋体"/>
                <w:sz w:val="24"/>
              </w:rPr>
              <w:t>注册地址</w:t>
            </w:r>
          </w:p>
        </w:tc>
        <w:tc>
          <w:tcPr>
            <w:tcW w:w="6667" w:type="dxa"/>
            <w:gridSpan w:val="7"/>
            <w:vAlign w:val="center"/>
          </w:tcPr>
          <w:p w14:paraId="74CDB187">
            <w:pPr>
              <w:adjustRightInd w:val="0"/>
              <w:snapToGrid w:val="0"/>
              <w:spacing w:line="360" w:lineRule="auto"/>
              <w:jc w:val="center"/>
              <w:rPr>
                <w:rFonts w:hint="eastAsia" w:ascii="宋体" w:hAnsi="宋体" w:cs="宋体"/>
                <w:sz w:val="24"/>
              </w:rPr>
            </w:pPr>
          </w:p>
        </w:tc>
      </w:tr>
      <w:tr w14:paraId="624E2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80" w:hRule="atLeast"/>
          <w:jc w:val="center"/>
        </w:trPr>
        <w:tc>
          <w:tcPr>
            <w:tcW w:w="1701" w:type="dxa"/>
            <w:vMerge w:val="restart"/>
            <w:vAlign w:val="center"/>
          </w:tcPr>
          <w:p w14:paraId="027708E6">
            <w:pPr>
              <w:spacing w:line="360" w:lineRule="auto"/>
              <w:jc w:val="center"/>
              <w:rPr>
                <w:rFonts w:hint="eastAsia" w:ascii="宋体" w:hAnsi="宋体" w:cs="宋体"/>
                <w:sz w:val="24"/>
              </w:rPr>
            </w:pPr>
            <w:r>
              <w:rPr>
                <w:rFonts w:hint="eastAsia" w:ascii="宋体" w:hAnsi="宋体" w:cs="宋体"/>
                <w:sz w:val="24"/>
              </w:rPr>
              <w:t>联系方式</w:t>
            </w:r>
          </w:p>
        </w:tc>
        <w:tc>
          <w:tcPr>
            <w:tcW w:w="1026" w:type="dxa"/>
            <w:tcBorders>
              <w:right w:val="single" w:color="auto" w:sz="4" w:space="0"/>
            </w:tcBorders>
            <w:vAlign w:val="center"/>
          </w:tcPr>
          <w:p w14:paraId="2B9D1ECC">
            <w:pPr>
              <w:adjustRightInd w:val="0"/>
              <w:snapToGrid w:val="0"/>
              <w:spacing w:line="360" w:lineRule="auto"/>
              <w:jc w:val="center"/>
              <w:rPr>
                <w:rFonts w:hint="eastAsia" w:ascii="宋体" w:hAnsi="宋体" w:cs="宋体"/>
                <w:sz w:val="24"/>
              </w:rPr>
            </w:pPr>
            <w:r>
              <w:rPr>
                <w:rFonts w:hint="eastAsia" w:ascii="宋体" w:hAnsi="宋体" w:cs="宋体"/>
                <w:sz w:val="24"/>
              </w:rPr>
              <w:t>联系人</w:t>
            </w:r>
          </w:p>
        </w:tc>
        <w:tc>
          <w:tcPr>
            <w:tcW w:w="2069" w:type="dxa"/>
            <w:gridSpan w:val="2"/>
            <w:tcBorders>
              <w:left w:val="single" w:color="auto" w:sz="4" w:space="0"/>
              <w:right w:val="single" w:color="auto" w:sz="4" w:space="0"/>
            </w:tcBorders>
            <w:vAlign w:val="center"/>
          </w:tcPr>
          <w:p w14:paraId="45B33747">
            <w:pPr>
              <w:adjustRightInd w:val="0"/>
              <w:snapToGrid w:val="0"/>
              <w:spacing w:line="360" w:lineRule="auto"/>
              <w:jc w:val="center"/>
              <w:rPr>
                <w:rFonts w:hint="eastAsia" w:ascii="宋体" w:hAnsi="宋体" w:cs="宋体"/>
                <w:sz w:val="24"/>
              </w:rPr>
            </w:pPr>
          </w:p>
        </w:tc>
        <w:tc>
          <w:tcPr>
            <w:tcW w:w="1339" w:type="dxa"/>
            <w:gridSpan w:val="2"/>
            <w:tcBorders>
              <w:left w:val="single" w:color="auto" w:sz="4" w:space="0"/>
              <w:right w:val="single" w:color="auto" w:sz="4" w:space="0"/>
            </w:tcBorders>
            <w:vAlign w:val="center"/>
          </w:tcPr>
          <w:p w14:paraId="075C6DFF">
            <w:pPr>
              <w:adjustRightInd w:val="0"/>
              <w:snapToGrid w:val="0"/>
              <w:spacing w:line="360" w:lineRule="auto"/>
              <w:jc w:val="center"/>
              <w:rPr>
                <w:rFonts w:hint="eastAsia" w:ascii="宋体" w:hAnsi="宋体" w:cs="宋体"/>
                <w:sz w:val="24"/>
              </w:rPr>
            </w:pPr>
            <w:r>
              <w:rPr>
                <w:rFonts w:hint="eastAsia" w:ascii="宋体" w:hAnsi="宋体" w:cs="宋体"/>
                <w:sz w:val="24"/>
              </w:rPr>
              <w:t>联系电话</w:t>
            </w:r>
          </w:p>
        </w:tc>
        <w:tc>
          <w:tcPr>
            <w:tcW w:w="2233" w:type="dxa"/>
            <w:gridSpan w:val="2"/>
            <w:tcBorders>
              <w:left w:val="single" w:color="auto" w:sz="4" w:space="0"/>
            </w:tcBorders>
            <w:vAlign w:val="center"/>
          </w:tcPr>
          <w:p w14:paraId="7FF482E2">
            <w:pPr>
              <w:adjustRightInd w:val="0"/>
              <w:snapToGrid w:val="0"/>
              <w:spacing w:line="360" w:lineRule="auto"/>
              <w:jc w:val="center"/>
              <w:rPr>
                <w:rFonts w:hint="eastAsia" w:ascii="宋体" w:hAnsi="宋体" w:cs="宋体"/>
                <w:sz w:val="24"/>
              </w:rPr>
            </w:pPr>
          </w:p>
        </w:tc>
      </w:tr>
      <w:tr w14:paraId="682C1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80" w:hRule="atLeast"/>
          <w:jc w:val="center"/>
        </w:trPr>
        <w:tc>
          <w:tcPr>
            <w:tcW w:w="1701" w:type="dxa"/>
            <w:vMerge w:val="continue"/>
            <w:vAlign w:val="center"/>
          </w:tcPr>
          <w:p w14:paraId="6A6BAA0B">
            <w:pPr>
              <w:adjustRightInd w:val="0"/>
              <w:snapToGrid w:val="0"/>
              <w:spacing w:line="360" w:lineRule="auto"/>
              <w:jc w:val="center"/>
              <w:rPr>
                <w:rFonts w:hint="eastAsia" w:ascii="宋体" w:hAnsi="宋体" w:cs="宋体"/>
                <w:sz w:val="24"/>
              </w:rPr>
            </w:pPr>
          </w:p>
        </w:tc>
        <w:tc>
          <w:tcPr>
            <w:tcW w:w="1026" w:type="dxa"/>
            <w:tcBorders>
              <w:right w:val="single" w:color="auto" w:sz="4" w:space="0"/>
            </w:tcBorders>
            <w:vAlign w:val="center"/>
          </w:tcPr>
          <w:p w14:paraId="3F67626E">
            <w:pPr>
              <w:adjustRightInd w:val="0"/>
              <w:snapToGrid w:val="0"/>
              <w:spacing w:line="360" w:lineRule="auto"/>
              <w:jc w:val="center"/>
              <w:rPr>
                <w:rFonts w:hint="eastAsia" w:ascii="宋体" w:hAnsi="宋体" w:cs="宋体"/>
                <w:sz w:val="24"/>
              </w:rPr>
            </w:pPr>
            <w:r>
              <w:rPr>
                <w:rFonts w:hint="eastAsia" w:ascii="宋体" w:hAnsi="宋体" w:cs="宋体"/>
                <w:sz w:val="24"/>
              </w:rPr>
              <w:t>电子邮箱</w:t>
            </w:r>
          </w:p>
        </w:tc>
        <w:tc>
          <w:tcPr>
            <w:tcW w:w="2069" w:type="dxa"/>
            <w:gridSpan w:val="2"/>
            <w:tcBorders>
              <w:left w:val="single" w:color="auto" w:sz="4" w:space="0"/>
              <w:right w:val="single" w:color="auto" w:sz="4" w:space="0"/>
            </w:tcBorders>
            <w:vAlign w:val="center"/>
          </w:tcPr>
          <w:p w14:paraId="7C37E827">
            <w:pPr>
              <w:adjustRightInd w:val="0"/>
              <w:snapToGrid w:val="0"/>
              <w:spacing w:line="360" w:lineRule="auto"/>
              <w:jc w:val="center"/>
              <w:rPr>
                <w:rFonts w:hint="eastAsia" w:ascii="宋体" w:hAnsi="宋体" w:cs="宋体"/>
                <w:sz w:val="24"/>
              </w:rPr>
            </w:pPr>
          </w:p>
        </w:tc>
        <w:tc>
          <w:tcPr>
            <w:tcW w:w="1339" w:type="dxa"/>
            <w:gridSpan w:val="2"/>
            <w:tcBorders>
              <w:left w:val="single" w:color="auto" w:sz="4" w:space="0"/>
              <w:right w:val="single" w:color="auto" w:sz="4" w:space="0"/>
            </w:tcBorders>
            <w:vAlign w:val="center"/>
          </w:tcPr>
          <w:p w14:paraId="07D22A57">
            <w:pPr>
              <w:adjustRightInd w:val="0"/>
              <w:snapToGrid w:val="0"/>
              <w:spacing w:line="360" w:lineRule="auto"/>
              <w:jc w:val="center"/>
              <w:rPr>
                <w:rFonts w:hint="eastAsia" w:ascii="宋体" w:hAnsi="宋体" w:cs="宋体"/>
                <w:sz w:val="24"/>
              </w:rPr>
            </w:pPr>
            <w:r>
              <w:rPr>
                <w:rFonts w:hint="eastAsia" w:ascii="宋体" w:hAnsi="宋体" w:cs="宋体"/>
                <w:sz w:val="24"/>
              </w:rPr>
              <w:t>座机</w:t>
            </w:r>
          </w:p>
        </w:tc>
        <w:tc>
          <w:tcPr>
            <w:tcW w:w="2233" w:type="dxa"/>
            <w:gridSpan w:val="2"/>
            <w:tcBorders>
              <w:left w:val="single" w:color="auto" w:sz="4" w:space="0"/>
            </w:tcBorders>
            <w:vAlign w:val="center"/>
          </w:tcPr>
          <w:p w14:paraId="24AEFCFC">
            <w:pPr>
              <w:adjustRightInd w:val="0"/>
              <w:snapToGrid w:val="0"/>
              <w:spacing w:line="360" w:lineRule="auto"/>
              <w:jc w:val="center"/>
              <w:rPr>
                <w:rFonts w:hint="eastAsia" w:ascii="宋体" w:hAnsi="宋体" w:cs="宋体"/>
                <w:sz w:val="24"/>
              </w:rPr>
            </w:pPr>
          </w:p>
        </w:tc>
      </w:tr>
      <w:tr w14:paraId="3BCEF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85" w:hRule="atLeast"/>
          <w:jc w:val="center"/>
        </w:trPr>
        <w:tc>
          <w:tcPr>
            <w:tcW w:w="1701" w:type="dxa"/>
            <w:vAlign w:val="center"/>
          </w:tcPr>
          <w:p w14:paraId="7F84C06C">
            <w:pPr>
              <w:adjustRightInd w:val="0"/>
              <w:snapToGrid w:val="0"/>
              <w:spacing w:line="360" w:lineRule="auto"/>
              <w:jc w:val="center"/>
              <w:rPr>
                <w:rFonts w:hint="eastAsia" w:ascii="宋体" w:hAnsi="宋体" w:cs="宋体"/>
                <w:sz w:val="24"/>
              </w:rPr>
            </w:pPr>
            <w:r>
              <w:rPr>
                <w:rFonts w:hint="eastAsia" w:ascii="宋体" w:hAnsi="宋体" w:cs="宋体"/>
                <w:sz w:val="24"/>
              </w:rPr>
              <w:t>成立时间</w:t>
            </w:r>
          </w:p>
        </w:tc>
        <w:tc>
          <w:tcPr>
            <w:tcW w:w="3095" w:type="dxa"/>
            <w:gridSpan w:val="3"/>
            <w:vAlign w:val="center"/>
          </w:tcPr>
          <w:p w14:paraId="22D6D956">
            <w:pPr>
              <w:adjustRightInd w:val="0"/>
              <w:snapToGrid w:val="0"/>
              <w:spacing w:line="360" w:lineRule="auto"/>
              <w:jc w:val="center"/>
              <w:rPr>
                <w:rFonts w:hint="eastAsia" w:ascii="宋体" w:hAnsi="宋体" w:cs="宋体"/>
                <w:sz w:val="24"/>
              </w:rPr>
            </w:pPr>
          </w:p>
        </w:tc>
        <w:tc>
          <w:tcPr>
            <w:tcW w:w="1339" w:type="dxa"/>
            <w:gridSpan w:val="2"/>
            <w:vAlign w:val="center"/>
          </w:tcPr>
          <w:p w14:paraId="275C7383">
            <w:pPr>
              <w:adjustRightInd w:val="0"/>
              <w:snapToGrid w:val="0"/>
              <w:spacing w:line="360" w:lineRule="auto"/>
              <w:jc w:val="center"/>
              <w:rPr>
                <w:rFonts w:hint="eastAsia" w:ascii="宋体" w:hAnsi="宋体" w:cs="宋体"/>
                <w:sz w:val="24"/>
              </w:rPr>
            </w:pPr>
            <w:r>
              <w:rPr>
                <w:rFonts w:hint="eastAsia" w:ascii="宋体" w:hAnsi="宋体" w:cs="宋体"/>
                <w:sz w:val="24"/>
              </w:rPr>
              <w:t>注册资本金</w:t>
            </w:r>
          </w:p>
        </w:tc>
        <w:tc>
          <w:tcPr>
            <w:tcW w:w="2233" w:type="dxa"/>
            <w:gridSpan w:val="2"/>
            <w:vAlign w:val="center"/>
          </w:tcPr>
          <w:p w14:paraId="20C83611">
            <w:pPr>
              <w:adjustRightInd w:val="0"/>
              <w:snapToGrid w:val="0"/>
              <w:spacing w:line="360" w:lineRule="auto"/>
              <w:jc w:val="center"/>
              <w:rPr>
                <w:rFonts w:hint="eastAsia" w:ascii="宋体" w:hAnsi="宋体" w:cs="宋体"/>
                <w:sz w:val="24"/>
              </w:rPr>
            </w:pPr>
          </w:p>
        </w:tc>
      </w:tr>
      <w:tr w14:paraId="3A673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715" w:hRule="atLeast"/>
          <w:jc w:val="center"/>
        </w:trPr>
        <w:tc>
          <w:tcPr>
            <w:tcW w:w="1701" w:type="dxa"/>
            <w:vAlign w:val="center"/>
          </w:tcPr>
          <w:p w14:paraId="0ECBAB49">
            <w:pPr>
              <w:adjustRightInd w:val="0"/>
              <w:snapToGrid w:val="0"/>
              <w:spacing w:line="360" w:lineRule="auto"/>
              <w:jc w:val="center"/>
              <w:rPr>
                <w:rFonts w:hint="eastAsia" w:ascii="宋体" w:hAnsi="宋体" w:cs="宋体"/>
                <w:sz w:val="24"/>
              </w:rPr>
            </w:pPr>
            <w:r>
              <w:rPr>
                <w:rFonts w:hint="eastAsia" w:ascii="宋体" w:hAnsi="宋体" w:cs="宋体"/>
                <w:sz w:val="24"/>
              </w:rPr>
              <w:t>法定代表人</w:t>
            </w:r>
          </w:p>
        </w:tc>
        <w:tc>
          <w:tcPr>
            <w:tcW w:w="1026" w:type="dxa"/>
            <w:vAlign w:val="center"/>
          </w:tcPr>
          <w:p w14:paraId="3676C64B">
            <w:pPr>
              <w:adjustRightInd w:val="0"/>
              <w:snapToGrid w:val="0"/>
              <w:spacing w:line="360" w:lineRule="auto"/>
              <w:jc w:val="center"/>
              <w:rPr>
                <w:rFonts w:hint="eastAsia" w:ascii="宋体" w:hAnsi="宋体" w:cs="宋体"/>
                <w:sz w:val="24"/>
              </w:rPr>
            </w:pPr>
          </w:p>
        </w:tc>
        <w:tc>
          <w:tcPr>
            <w:tcW w:w="1304" w:type="dxa"/>
            <w:vAlign w:val="center"/>
          </w:tcPr>
          <w:p w14:paraId="05A1FC9F">
            <w:pPr>
              <w:adjustRightInd w:val="0"/>
              <w:snapToGrid w:val="0"/>
              <w:spacing w:line="360" w:lineRule="auto"/>
              <w:jc w:val="center"/>
              <w:rPr>
                <w:rFonts w:hint="eastAsia" w:ascii="宋体" w:hAnsi="宋体" w:cs="宋体"/>
                <w:sz w:val="24"/>
              </w:rPr>
            </w:pPr>
            <w:r>
              <w:rPr>
                <w:rFonts w:hint="eastAsia" w:ascii="宋体" w:hAnsi="宋体" w:cs="宋体"/>
                <w:sz w:val="24"/>
              </w:rPr>
              <w:t>联系电话（手机）</w:t>
            </w:r>
          </w:p>
        </w:tc>
        <w:tc>
          <w:tcPr>
            <w:tcW w:w="1623" w:type="dxa"/>
            <w:gridSpan w:val="2"/>
            <w:vAlign w:val="center"/>
          </w:tcPr>
          <w:p w14:paraId="32651D47">
            <w:pPr>
              <w:adjustRightInd w:val="0"/>
              <w:snapToGrid w:val="0"/>
              <w:spacing w:line="360" w:lineRule="auto"/>
              <w:jc w:val="center"/>
              <w:rPr>
                <w:rFonts w:hint="eastAsia" w:ascii="宋体" w:hAnsi="宋体" w:cs="宋体"/>
                <w:sz w:val="24"/>
              </w:rPr>
            </w:pPr>
          </w:p>
        </w:tc>
        <w:tc>
          <w:tcPr>
            <w:tcW w:w="1148" w:type="dxa"/>
            <w:gridSpan w:val="2"/>
            <w:vAlign w:val="center"/>
          </w:tcPr>
          <w:p w14:paraId="6C210B80">
            <w:pPr>
              <w:adjustRightInd w:val="0"/>
              <w:snapToGrid w:val="0"/>
              <w:spacing w:line="360" w:lineRule="auto"/>
              <w:jc w:val="center"/>
              <w:rPr>
                <w:rFonts w:hint="eastAsia" w:ascii="宋体" w:hAnsi="宋体" w:cs="宋体"/>
                <w:sz w:val="24"/>
              </w:rPr>
            </w:pPr>
            <w:r>
              <w:rPr>
                <w:rFonts w:hint="eastAsia" w:ascii="宋体" w:hAnsi="宋体" w:cs="宋体"/>
                <w:sz w:val="24"/>
              </w:rPr>
              <w:t>座机</w:t>
            </w:r>
          </w:p>
        </w:tc>
        <w:tc>
          <w:tcPr>
            <w:tcW w:w="1566" w:type="dxa"/>
            <w:vAlign w:val="center"/>
          </w:tcPr>
          <w:p w14:paraId="4AC31E1E">
            <w:pPr>
              <w:adjustRightInd w:val="0"/>
              <w:snapToGrid w:val="0"/>
              <w:spacing w:line="360" w:lineRule="auto"/>
              <w:jc w:val="center"/>
              <w:rPr>
                <w:rFonts w:hint="eastAsia" w:ascii="宋体" w:hAnsi="宋体" w:cs="宋体"/>
                <w:sz w:val="24"/>
              </w:rPr>
            </w:pPr>
          </w:p>
        </w:tc>
      </w:tr>
      <w:tr w14:paraId="50835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715" w:hRule="atLeast"/>
          <w:jc w:val="center"/>
        </w:trPr>
        <w:tc>
          <w:tcPr>
            <w:tcW w:w="1701" w:type="dxa"/>
            <w:vAlign w:val="center"/>
          </w:tcPr>
          <w:p w14:paraId="25EA29D1">
            <w:pPr>
              <w:adjustRightInd w:val="0"/>
              <w:snapToGrid w:val="0"/>
              <w:spacing w:line="360" w:lineRule="auto"/>
              <w:jc w:val="center"/>
              <w:rPr>
                <w:rFonts w:hint="eastAsia" w:ascii="宋体" w:hAnsi="宋体" w:cs="宋体"/>
                <w:sz w:val="24"/>
              </w:rPr>
            </w:pPr>
            <w:r>
              <w:rPr>
                <w:rFonts w:hint="eastAsia" w:ascii="宋体" w:hAnsi="宋体" w:cs="宋体"/>
                <w:sz w:val="24"/>
              </w:rPr>
              <w:t>授权代理人</w:t>
            </w:r>
          </w:p>
        </w:tc>
        <w:tc>
          <w:tcPr>
            <w:tcW w:w="1026" w:type="dxa"/>
            <w:vAlign w:val="center"/>
          </w:tcPr>
          <w:p w14:paraId="2352FFD5">
            <w:pPr>
              <w:adjustRightInd w:val="0"/>
              <w:snapToGrid w:val="0"/>
              <w:spacing w:line="360" w:lineRule="auto"/>
              <w:jc w:val="center"/>
              <w:rPr>
                <w:rFonts w:hint="eastAsia" w:ascii="宋体" w:hAnsi="宋体" w:cs="宋体"/>
                <w:sz w:val="24"/>
              </w:rPr>
            </w:pPr>
          </w:p>
        </w:tc>
        <w:tc>
          <w:tcPr>
            <w:tcW w:w="1304" w:type="dxa"/>
            <w:vAlign w:val="center"/>
          </w:tcPr>
          <w:p w14:paraId="422D5E1A">
            <w:pPr>
              <w:adjustRightInd w:val="0"/>
              <w:snapToGrid w:val="0"/>
              <w:spacing w:line="360" w:lineRule="auto"/>
              <w:jc w:val="center"/>
              <w:rPr>
                <w:rFonts w:hint="eastAsia" w:ascii="宋体" w:hAnsi="宋体" w:cs="宋体"/>
                <w:sz w:val="24"/>
              </w:rPr>
            </w:pPr>
            <w:r>
              <w:rPr>
                <w:rFonts w:hint="eastAsia" w:ascii="宋体" w:hAnsi="宋体" w:cs="宋体"/>
                <w:sz w:val="24"/>
              </w:rPr>
              <w:t>联系电话（手机）</w:t>
            </w:r>
          </w:p>
        </w:tc>
        <w:tc>
          <w:tcPr>
            <w:tcW w:w="1623" w:type="dxa"/>
            <w:gridSpan w:val="2"/>
            <w:vAlign w:val="center"/>
          </w:tcPr>
          <w:p w14:paraId="617FEF79">
            <w:pPr>
              <w:adjustRightInd w:val="0"/>
              <w:snapToGrid w:val="0"/>
              <w:spacing w:line="360" w:lineRule="auto"/>
              <w:jc w:val="center"/>
              <w:rPr>
                <w:rFonts w:hint="eastAsia" w:ascii="宋体" w:hAnsi="宋体" w:cs="宋体"/>
                <w:sz w:val="24"/>
              </w:rPr>
            </w:pPr>
          </w:p>
        </w:tc>
        <w:tc>
          <w:tcPr>
            <w:tcW w:w="1148" w:type="dxa"/>
            <w:gridSpan w:val="2"/>
            <w:vAlign w:val="center"/>
          </w:tcPr>
          <w:p w14:paraId="0412E19B">
            <w:pPr>
              <w:adjustRightInd w:val="0"/>
              <w:snapToGrid w:val="0"/>
              <w:spacing w:line="360" w:lineRule="auto"/>
              <w:jc w:val="center"/>
              <w:rPr>
                <w:rFonts w:hint="eastAsia" w:ascii="宋体" w:hAnsi="宋体" w:cs="宋体"/>
                <w:sz w:val="24"/>
              </w:rPr>
            </w:pPr>
            <w:r>
              <w:rPr>
                <w:rFonts w:hint="eastAsia" w:ascii="宋体" w:hAnsi="宋体" w:cs="宋体"/>
                <w:sz w:val="24"/>
              </w:rPr>
              <w:t>座机</w:t>
            </w:r>
          </w:p>
        </w:tc>
        <w:tc>
          <w:tcPr>
            <w:tcW w:w="1566" w:type="dxa"/>
            <w:vAlign w:val="center"/>
          </w:tcPr>
          <w:p w14:paraId="6365B952">
            <w:pPr>
              <w:adjustRightInd w:val="0"/>
              <w:snapToGrid w:val="0"/>
              <w:spacing w:line="360" w:lineRule="auto"/>
              <w:jc w:val="center"/>
              <w:rPr>
                <w:rFonts w:hint="eastAsia" w:ascii="宋体" w:hAnsi="宋体" w:cs="宋体"/>
                <w:sz w:val="24"/>
              </w:rPr>
            </w:pPr>
          </w:p>
        </w:tc>
      </w:tr>
      <w:tr w14:paraId="07036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1267" w:hRule="atLeast"/>
          <w:jc w:val="center"/>
        </w:trPr>
        <w:tc>
          <w:tcPr>
            <w:tcW w:w="1701" w:type="dxa"/>
            <w:vAlign w:val="center"/>
          </w:tcPr>
          <w:p w14:paraId="5A11487A">
            <w:pPr>
              <w:adjustRightInd w:val="0"/>
              <w:snapToGrid w:val="0"/>
              <w:spacing w:line="360" w:lineRule="auto"/>
              <w:jc w:val="center"/>
              <w:rPr>
                <w:rFonts w:hint="eastAsia" w:ascii="宋体" w:hAnsi="宋体" w:cs="宋体"/>
                <w:sz w:val="24"/>
              </w:rPr>
            </w:pPr>
            <w:r>
              <w:rPr>
                <w:rFonts w:hint="eastAsia" w:ascii="宋体" w:hAnsi="宋体" w:cs="宋体"/>
                <w:sz w:val="24"/>
              </w:rPr>
              <w:t>基本存款账户信息</w:t>
            </w:r>
          </w:p>
        </w:tc>
        <w:tc>
          <w:tcPr>
            <w:tcW w:w="6667" w:type="dxa"/>
            <w:gridSpan w:val="7"/>
            <w:vAlign w:val="center"/>
          </w:tcPr>
          <w:p w14:paraId="641660DC">
            <w:pPr>
              <w:adjustRightInd w:val="0"/>
              <w:snapToGrid w:val="0"/>
              <w:spacing w:line="360" w:lineRule="auto"/>
              <w:jc w:val="left"/>
              <w:rPr>
                <w:rFonts w:hint="eastAsia" w:ascii="宋体" w:hAnsi="宋体" w:cs="宋体"/>
                <w:sz w:val="24"/>
              </w:rPr>
            </w:pPr>
            <w:r>
              <w:rPr>
                <w:rFonts w:hint="eastAsia" w:ascii="宋体" w:hAnsi="宋体" w:cs="宋体"/>
                <w:sz w:val="24"/>
              </w:rPr>
              <w:t>开户银行：</w:t>
            </w:r>
          </w:p>
          <w:p w14:paraId="498ED161">
            <w:pPr>
              <w:adjustRightInd w:val="0"/>
              <w:snapToGrid w:val="0"/>
              <w:spacing w:line="360" w:lineRule="auto"/>
              <w:jc w:val="left"/>
              <w:rPr>
                <w:rFonts w:hint="eastAsia" w:ascii="宋体" w:hAnsi="宋体" w:cs="宋体"/>
                <w:sz w:val="24"/>
              </w:rPr>
            </w:pPr>
            <w:r>
              <w:rPr>
                <w:rFonts w:hint="eastAsia" w:ascii="宋体" w:hAnsi="宋体" w:cs="宋体"/>
                <w:sz w:val="24"/>
              </w:rPr>
              <w:t>银行账号：</w:t>
            </w:r>
          </w:p>
        </w:tc>
      </w:tr>
      <w:tr w14:paraId="665BE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1656" w:hRule="atLeast"/>
          <w:jc w:val="center"/>
        </w:trPr>
        <w:tc>
          <w:tcPr>
            <w:tcW w:w="1701" w:type="dxa"/>
            <w:tcBorders>
              <w:top w:val="single" w:color="auto" w:sz="4" w:space="0"/>
              <w:bottom w:val="single" w:color="auto" w:sz="4" w:space="0"/>
            </w:tcBorders>
            <w:vAlign w:val="center"/>
          </w:tcPr>
          <w:p w14:paraId="27AAA3D7">
            <w:pPr>
              <w:adjustRightInd w:val="0"/>
              <w:snapToGrid w:val="0"/>
              <w:spacing w:line="360" w:lineRule="auto"/>
              <w:jc w:val="center"/>
              <w:rPr>
                <w:rFonts w:hint="eastAsia" w:ascii="宋体" w:hAnsi="宋体" w:cs="宋体"/>
                <w:sz w:val="24"/>
              </w:rPr>
            </w:pPr>
            <w:r>
              <w:rPr>
                <w:rFonts w:hint="eastAsia" w:ascii="宋体" w:hAnsi="宋体" w:cs="宋体"/>
                <w:sz w:val="24"/>
              </w:rPr>
              <w:t>经营范围</w:t>
            </w:r>
          </w:p>
        </w:tc>
        <w:tc>
          <w:tcPr>
            <w:tcW w:w="6667" w:type="dxa"/>
            <w:gridSpan w:val="7"/>
            <w:tcBorders>
              <w:top w:val="single" w:color="auto" w:sz="4" w:space="0"/>
              <w:bottom w:val="single" w:color="auto" w:sz="4" w:space="0"/>
            </w:tcBorders>
            <w:vAlign w:val="center"/>
          </w:tcPr>
          <w:p w14:paraId="585C41FA">
            <w:pPr>
              <w:adjustRightInd w:val="0"/>
              <w:snapToGrid w:val="0"/>
              <w:spacing w:line="360" w:lineRule="auto"/>
              <w:jc w:val="center"/>
              <w:rPr>
                <w:rFonts w:hint="eastAsia" w:ascii="宋体" w:hAnsi="宋体" w:cs="宋体"/>
                <w:sz w:val="24"/>
              </w:rPr>
            </w:pPr>
          </w:p>
        </w:tc>
      </w:tr>
      <w:tr w14:paraId="43D6F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2225" w:hRule="atLeast"/>
          <w:jc w:val="center"/>
        </w:trPr>
        <w:tc>
          <w:tcPr>
            <w:tcW w:w="1701" w:type="dxa"/>
            <w:tcBorders>
              <w:top w:val="single" w:color="auto" w:sz="4" w:space="0"/>
            </w:tcBorders>
            <w:vAlign w:val="center"/>
          </w:tcPr>
          <w:p w14:paraId="6F1E050C">
            <w:pPr>
              <w:adjustRightInd w:val="0"/>
              <w:snapToGrid w:val="0"/>
              <w:spacing w:line="360" w:lineRule="auto"/>
              <w:jc w:val="center"/>
              <w:rPr>
                <w:rFonts w:hint="eastAsia" w:ascii="宋体" w:hAnsi="宋体" w:cs="宋体"/>
                <w:sz w:val="24"/>
              </w:rPr>
            </w:pPr>
            <w:r>
              <w:rPr>
                <w:rFonts w:hint="eastAsia" w:ascii="宋体" w:hAnsi="宋体" w:cs="宋体"/>
                <w:sz w:val="20"/>
                <w:szCs w:val="20"/>
              </w:rPr>
              <w:t>投标人关</w:t>
            </w:r>
            <w:r>
              <w:rPr>
                <w:rFonts w:hint="eastAsia" w:ascii="宋体" w:hAnsi="宋体" w:cs="宋体"/>
                <w:spacing w:val="-2"/>
                <w:sz w:val="20"/>
                <w:szCs w:val="20"/>
              </w:rPr>
              <w:t>联</w:t>
            </w:r>
            <w:r>
              <w:rPr>
                <w:rFonts w:hint="eastAsia" w:ascii="宋体" w:hAnsi="宋体" w:cs="宋体"/>
                <w:sz w:val="20"/>
                <w:szCs w:val="20"/>
              </w:rPr>
              <w:t>企</w:t>
            </w:r>
            <w:r>
              <w:rPr>
                <w:rFonts w:hint="eastAsia" w:ascii="宋体" w:hAnsi="宋体" w:cs="宋体"/>
                <w:spacing w:val="-2"/>
                <w:sz w:val="20"/>
                <w:szCs w:val="20"/>
              </w:rPr>
              <w:t>业</w:t>
            </w:r>
            <w:r>
              <w:rPr>
                <w:rFonts w:hint="eastAsia" w:ascii="宋体" w:hAnsi="宋体" w:cs="宋体"/>
                <w:sz w:val="20"/>
                <w:szCs w:val="20"/>
              </w:rPr>
              <w:t>情况（包</w:t>
            </w:r>
            <w:r>
              <w:rPr>
                <w:rFonts w:hint="eastAsia" w:ascii="宋体" w:hAnsi="宋体" w:cs="宋体"/>
                <w:spacing w:val="-2"/>
                <w:sz w:val="20"/>
                <w:szCs w:val="20"/>
              </w:rPr>
              <w:t>括</w:t>
            </w:r>
            <w:r>
              <w:rPr>
                <w:rFonts w:hint="eastAsia" w:ascii="宋体" w:hAnsi="宋体" w:cs="宋体"/>
                <w:sz w:val="20"/>
                <w:szCs w:val="20"/>
              </w:rPr>
              <w:t>但</w:t>
            </w:r>
            <w:r>
              <w:rPr>
                <w:rFonts w:hint="eastAsia" w:ascii="宋体" w:hAnsi="宋体" w:cs="宋体"/>
                <w:spacing w:val="-2"/>
                <w:sz w:val="20"/>
                <w:szCs w:val="20"/>
              </w:rPr>
              <w:t>不</w:t>
            </w:r>
            <w:r>
              <w:rPr>
                <w:rFonts w:hint="eastAsia" w:ascii="宋体" w:hAnsi="宋体" w:cs="宋体"/>
                <w:sz w:val="20"/>
                <w:szCs w:val="20"/>
              </w:rPr>
              <w:t>限</w:t>
            </w:r>
            <w:r>
              <w:rPr>
                <w:rFonts w:hint="eastAsia" w:ascii="宋体" w:hAnsi="宋体" w:cs="宋体"/>
                <w:spacing w:val="-2"/>
                <w:sz w:val="20"/>
                <w:szCs w:val="20"/>
              </w:rPr>
              <w:t>于</w:t>
            </w:r>
            <w:r>
              <w:rPr>
                <w:rFonts w:hint="eastAsia" w:ascii="宋体" w:hAnsi="宋体" w:cs="宋体"/>
                <w:sz w:val="20"/>
                <w:szCs w:val="20"/>
              </w:rPr>
              <w:t>与投标人</w:t>
            </w:r>
            <w:r>
              <w:rPr>
                <w:rFonts w:hint="eastAsia" w:ascii="宋体" w:hAnsi="宋体" w:cs="宋体"/>
                <w:spacing w:val="-2"/>
                <w:sz w:val="20"/>
                <w:szCs w:val="20"/>
              </w:rPr>
              <w:t>法</w:t>
            </w:r>
            <w:r>
              <w:rPr>
                <w:rFonts w:hint="eastAsia" w:ascii="宋体" w:hAnsi="宋体" w:cs="宋体"/>
                <w:sz w:val="20"/>
                <w:szCs w:val="20"/>
              </w:rPr>
              <w:t>定</w:t>
            </w:r>
            <w:r>
              <w:rPr>
                <w:rFonts w:hint="eastAsia" w:ascii="宋体" w:hAnsi="宋体" w:cs="宋体"/>
                <w:spacing w:val="-2"/>
                <w:sz w:val="20"/>
                <w:szCs w:val="20"/>
              </w:rPr>
              <w:t>代</w:t>
            </w:r>
            <w:r>
              <w:rPr>
                <w:rFonts w:hint="eastAsia" w:ascii="宋体" w:hAnsi="宋体" w:cs="宋体"/>
                <w:sz w:val="20"/>
                <w:szCs w:val="20"/>
              </w:rPr>
              <w:t>表</w:t>
            </w:r>
            <w:r>
              <w:rPr>
                <w:rFonts w:hint="eastAsia" w:ascii="宋体" w:hAnsi="宋体" w:cs="宋体"/>
                <w:spacing w:val="-2"/>
                <w:sz w:val="20"/>
                <w:szCs w:val="20"/>
              </w:rPr>
              <w:t>人</w:t>
            </w:r>
            <w:r>
              <w:rPr>
                <w:rFonts w:hint="eastAsia" w:ascii="宋体" w:hAnsi="宋体" w:cs="宋体"/>
                <w:sz w:val="20"/>
                <w:szCs w:val="20"/>
              </w:rPr>
              <w:t>（单位负</w:t>
            </w:r>
            <w:r>
              <w:rPr>
                <w:rFonts w:hint="eastAsia" w:ascii="宋体" w:hAnsi="宋体" w:cs="宋体"/>
                <w:spacing w:val="-2"/>
                <w:sz w:val="20"/>
                <w:szCs w:val="20"/>
              </w:rPr>
              <w:t>责</w:t>
            </w:r>
            <w:r>
              <w:rPr>
                <w:rFonts w:hint="eastAsia" w:ascii="宋体" w:hAnsi="宋体" w:cs="宋体"/>
                <w:sz w:val="20"/>
                <w:szCs w:val="20"/>
              </w:rPr>
              <w:t>人</w:t>
            </w:r>
            <w:r>
              <w:rPr>
                <w:rFonts w:hint="eastAsia" w:ascii="宋体" w:hAnsi="宋体" w:cs="宋体"/>
                <w:spacing w:val="-2"/>
                <w:sz w:val="20"/>
                <w:szCs w:val="20"/>
              </w:rPr>
              <w:t>）</w:t>
            </w:r>
            <w:r>
              <w:rPr>
                <w:rFonts w:hint="eastAsia" w:ascii="宋体" w:hAnsi="宋体" w:cs="宋体"/>
                <w:sz w:val="20"/>
                <w:szCs w:val="20"/>
              </w:rPr>
              <w:t>为</w:t>
            </w:r>
            <w:r>
              <w:rPr>
                <w:rFonts w:hint="eastAsia" w:ascii="宋体" w:hAnsi="宋体" w:cs="宋体"/>
                <w:spacing w:val="-2"/>
                <w:sz w:val="20"/>
                <w:szCs w:val="20"/>
              </w:rPr>
              <w:t>同</w:t>
            </w:r>
            <w:r>
              <w:rPr>
                <w:rFonts w:hint="eastAsia" w:ascii="宋体" w:hAnsi="宋体" w:cs="宋体"/>
                <w:sz w:val="20"/>
                <w:szCs w:val="20"/>
              </w:rPr>
              <w:t>一人或者</w:t>
            </w:r>
            <w:r>
              <w:rPr>
                <w:rFonts w:hint="eastAsia" w:ascii="宋体" w:hAnsi="宋体" w:cs="宋体"/>
                <w:spacing w:val="-2"/>
                <w:sz w:val="20"/>
                <w:szCs w:val="20"/>
              </w:rPr>
              <w:t>存</w:t>
            </w:r>
            <w:r>
              <w:rPr>
                <w:rFonts w:hint="eastAsia" w:ascii="宋体" w:hAnsi="宋体" w:cs="宋体"/>
                <w:sz w:val="20"/>
                <w:szCs w:val="20"/>
              </w:rPr>
              <w:t>在</w:t>
            </w:r>
            <w:r>
              <w:rPr>
                <w:rFonts w:hint="eastAsia" w:ascii="宋体" w:hAnsi="宋体" w:cs="宋体"/>
                <w:spacing w:val="-2"/>
                <w:sz w:val="20"/>
                <w:szCs w:val="20"/>
              </w:rPr>
              <w:t>控</w:t>
            </w:r>
            <w:r>
              <w:rPr>
                <w:rFonts w:hint="eastAsia" w:ascii="宋体" w:hAnsi="宋体" w:cs="宋体"/>
                <w:sz w:val="20"/>
                <w:szCs w:val="20"/>
              </w:rPr>
              <w:t>股</w:t>
            </w:r>
            <w:r>
              <w:rPr>
                <w:rFonts w:hint="eastAsia" w:ascii="宋体" w:hAnsi="宋体" w:cs="宋体"/>
                <w:spacing w:val="-2"/>
                <w:sz w:val="20"/>
                <w:szCs w:val="20"/>
              </w:rPr>
              <w:t>、</w:t>
            </w:r>
            <w:r>
              <w:rPr>
                <w:rFonts w:hint="eastAsia" w:ascii="宋体" w:hAnsi="宋体" w:cs="宋体"/>
                <w:sz w:val="20"/>
                <w:szCs w:val="20"/>
              </w:rPr>
              <w:t>管理关系</w:t>
            </w:r>
            <w:r>
              <w:rPr>
                <w:rFonts w:hint="eastAsia" w:ascii="宋体" w:hAnsi="宋体" w:cs="宋体"/>
                <w:spacing w:val="-2"/>
                <w:sz w:val="20"/>
                <w:szCs w:val="20"/>
              </w:rPr>
              <w:t>的</w:t>
            </w:r>
            <w:r>
              <w:rPr>
                <w:rFonts w:hint="eastAsia" w:ascii="宋体" w:hAnsi="宋体" w:cs="宋体"/>
                <w:sz w:val="20"/>
                <w:szCs w:val="20"/>
              </w:rPr>
              <w:t>不</w:t>
            </w:r>
            <w:r>
              <w:rPr>
                <w:rFonts w:hint="eastAsia" w:ascii="宋体" w:hAnsi="宋体" w:cs="宋体"/>
                <w:spacing w:val="-2"/>
                <w:sz w:val="20"/>
                <w:szCs w:val="20"/>
              </w:rPr>
              <w:t>同</w:t>
            </w:r>
            <w:r>
              <w:rPr>
                <w:rFonts w:hint="eastAsia" w:ascii="宋体" w:hAnsi="宋体" w:cs="宋体"/>
                <w:sz w:val="20"/>
                <w:szCs w:val="20"/>
              </w:rPr>
              <w:t>单</w:t>
            </w:r>
            <w:r>
              <w:rPr>
                <w:rFonts w:hint="eastAsia" w:ascii="宋体" w:hAnsi="宋体" w:cs="宋体"/>
                <w:spacing w:val="-2"/>
                <w:sz w:val="20"/>
                <w:szCs w:val="20"/>
              </w:rPr>
              <w:t>位</w:t>
            </w:r>
            <w:r>
              <w:rPr>
                <w:rFonts w:hint="eastAsia" w:ascii="宋体" w:hAnsi="宋体" w:cs="宋体"/>
                <w:sz w:val="20"/>
                <w:szCs w:val="20"/>
              </w:rPr>
              <w:t>）</w:t>
            </w:r>
          </w:p>
        </w:tc>
        <w:tc>
          <w:tcPr>
            <w:tcW w:w="6667" w:type="dxa"/>
            <w:gridSpan w:val="7"/>
            <w:tcBorders>
              <w:top w:val="single" w:color="auto" w:sz="4" w:space="0"/>
            </w:tcBorders>
            <w:vAlign w:val="center"/>
          </w:tcPr>
          <w:p w14:paraId="6DB49578">
            <w:pPr>
              <w:adjustRightInd w:val="0"/>
              <w:snapToGrid w:val="0"/>
              <w:spacing w:line="360" w:lineRule="auto"/>
              <w:jc w:val="center"/>
              <w:rPr>
                <w:rFonts w:hint="eastAsia" w:ascii="宋体" w:hAnsi="宋体" w:cs="宋体"/>
                <w:sz w:val="24"/>
              </w:rPr>
            </w:pPr>
          </w:p>
        </w:tc>
      </w:tr>
    </w:tbl>
    <w:p w14:paraId="29B5C6B1">
      <w:pPr>
        <w:shd w:val="solid" w:color="FFFFFF" w:fill="auto"/>
        <w:autoSpaceDN w:val="0"/>
        <w:spacing w:line="360" w:lineRule="auto"/>
        <w:rPr>
          <w:rFonts w:hint="eastAsia" w:ascii="宋体" w:hAnsi="宋体" w:cs="宋体"/>
          <w:sz w:val="24"/>
          <w:shd w:val="clear" w:color="auto" w:fill="FFFFFF"/>
        </w:rPr>
      </w:pPr>
    </w:p>
    <w:p w14:paraId="3D944347">
      <w:pPr>
        <w:shd w:val="solid" w:color="FFFFFF" w:fill="auto"/>
        <w:autoSpaceDN w:val="0"/>
        <w:spacing w:line="360" w:lineRule="auto"/>
        <w:jc w:val="left"/>
        <w:rPr>
          <w:rFonts w:hint="eastAsia" w:ascii="宋体" w:hAnsi="宋体" w:cs="宋体"/>
          <w:sz w:val="24"/>
          <w:shd w:val="clear" w:color="auto" w:fill="FFFFFF"/>
        </w:rPr>
      </w:pPr>
      <w:bookmarkStart w:id="227" w:name="_Toc9513"/>
      <w:r>
        <w:rPr>
          <w:rFonts w:hint="eastAsia" w:ascii="宋体" w:hAnsi="宋体" w:cs="宋体"/>
          <w:sz w:val="24"/>
        </w:rPr>
        <w:t xml:space="preserve"> </w:t>
      </w:r>
      <w:r>
        <w:rPr>
          <w:rFonts w:hint="eastAsia" w:ascii="宋体" w:hAnsi="宋体" w:cs="宋体"/>
          <w:sz w:val="24"/>
          <w:shd w:val="clear" w:color="auto" w:fill="FFFFFF"/>
        </w:rPr>
        <w:t>投标人</w:t>
      </w:r>
      <w:r>
        <w:rPr>
          <w:rFonts w:hint="eastAsia" w:ascii="宋体" w:hAnsi="宋体" w:cs="宋体"/>
          <w:sz w:val="24"/>
        </w:rPr>
        <w:t>：</w:t>
      </w:r>
      <w:r>
        <w:rPr>
          <w:rFonts w:hint="eastAsia" w:ascii="宋体" w:hAnsi="宋体" w:cs="宋体"/>
          <w:sz w:val="24"/>
          <w:u w:val="single"/>
        </w:rPr>
        <w:t xml:space="preserve">      （投标人全称）      </w:t>
      </w:r>
      <w:r>
        <w:rPr>
          <w:rFonts w:hint="eastAsia" w:ascii="宋体" w:hAnsi="宋体" w:cs="宋体"/>
          <w:sz w:val="24"/>
        </w:rPr>
        <w:t>（电子签章）</w:t>
      </w:r>
    </w:p>
    <w:p w14:paraId="7BE5BF80">
      <w:pPr>
        <w:shd w:val="solid" w:color="FFFFFF" w:fill="auto"/>
        <w:autoSpaceDN w:val="0"/>
        <w:spacing w:line="360" w:lineRule="auto"/>
        <w:jc w:val="left"/>
        <w:rPr>
          <w:rFonts w:hint="eastAsia" w:ascii="宋体" w:hAnsi="宋体" w:cs="宋体"/>
          <w:sz w:val="24"/>
          <w:shd w:val="clear" w:color="auto" w:fill="FFFFFF"/>
        </w:rPr>
      </w:pPr>
      <w:r>
        <w:rPr>
          <w:rFonts w:hint="eastAsia" w:ascii="宋体" w:hAnsi="宋体" w:cs="宋体"/>
          <w:sz w:val="24"/>
          <w:shd w:val="clear" w:color="auto" w:fill="FFFFFF"/>
        </w:rPr>
        <w:t xml:space="preserve"> 法定代表人或其委托代理人：</w:t>
      </w:r>
      <w:r>
        <w:rPr>
          <w:rFonts w:hint="eastAsia" w:ascii="宋体" w:hAnsi="宋体" w:cs="宋体"/>
          <w:sz w:val="24"/>
          <w:u w:val="single"/>
          <w:shd w:val="clear" w:color="auto" w:fill="FFFFFF"/>
        </w:rPr>
        <w:t xml:space="preserve">　               </w:t>
      </w:r>
      <w:r>
        <w:rPr>
          <w:rFonts w:hint="eastAsia" w:ascii="宋体" w:hAnsi="宋体" w:cs="宋体"/>
          <w:sz w:val="24"/>
          <w:shd w:val="clear" w:color="auto" w:fill="FFFFFF"/>
        </w:rPr>
        <w:t>（电子签章或电子签名）</w:t>
      </w:r>
    </w:p>
    <w:p w14:paraId="37F080FE">
      <w:pPr>
        <w:tabs>
          <w:tab w:val="right" w:pos="8306"/>
        </w:tabs>
        <w:spacing w:line="360" w:lineRule="auto"/>
        <w:rPr>
          <w:rFonts w:hint="eastAsia" w:ascii="宋体" w:hAnsi="宋体" w:cs="宋体"/>
          <w:sz w:val="24"/>
        </w:rPr>
      </w:pPr>
      <w:r>
        <w:rPr>
          <w:rFonts w:hint="eastAsia" w:ascii="宋体" w:hAnsi="宋体" w:cs="宋体"/>
          <w:sz w:val="24"/>
        </w:rPr>
        <w:t xml:space="preserve"> 日期：</w:t>
      </w:r>
      <w:r>
        <w:rPr>
          <w:rFonts w:hint="eastAsia" w:ascii="宋体" w:hAnsi="宋体" w:cs="宋体"/>
          <w:sz w:val="24"/>
          <w:u w:val="single"/>
          <w:shd w:val="clear" w:color="auto" w:fill="FFFFFF"/>
        </w:rPr>
        <w:t xml:space="preserve">　    </w:t>
      </w:r>
      <w:r>
        <w:rPr>
          <w:rFonts w:hint="eastAsia" w:ascii="宋体" w:hAnsi="宋体" w:cs="宋体"/>
          <w:sz w:val="24"/>
        </w:rPr>
        <w:t>年</w:t>
      </w:r>
      <w:r>
        <w:rPr>
          <w:rFonts w:hint="eastAsia" w:ascii="宋体" w:hAnsi="宋体" w:cs="宋体"/>
          <w:sz w:val="24"/>
          <w:u w:val="single"/>
          <w:shd w:val="clear" w:color="auto" w:fill="FFFFFF"/>
        </w:rPr>
        <w:t xml:space="preserve">　    </w:t>
      </w:r>
      <w:r>
        <w:rPr>
          <w:rFonts w:hint="eastAsia" w:ascii="宋体" w:hAnsi="宋体" w:cs="宋体"/>
          <w:sz w:val="24"/>
        </w:rPr>
        <w:t>月</w:t>
      </w:r>
      <w:r>
        <w:rPr>
          <w:rFonts w:hint="eastAsia" w:ascii="宋体" w:hAnsi="宋体" w:cs="宋体"/>
          <w:sz w:val="24"/>
          <w:u w:val="single"/>
          <w:shd w:val="clear" w:color="auto" w:fill="FFFFFF"/>
        </w:rPr>
        <w:t xml:space="preserve">　    </w:t>
      </w:r>
      <w:r>
        <w:rPr>
          <w:rFonts w:hint="eastAsia" w:ascii="宋体" w:hAnsi="宋体" w:cs="宋体"/>
          <w:sz w:val="24"/>
        </w:rPr>
        <w:t>日</w:t>
      </w:r>
    </w:p>
    <w:p w14:paraId="209174E8">
      <w:pPr>
        <w:pStyle w:val="6"/>
        <w:spacing w:line="360" w:lineRule="auto"/>
        <w:jc w:val="center"/>
        <w:rPr>
          <w:rFonts w:hint="eastAsia" w:ascii="宋体" w:hAnsi="宋体" w:cs="宋体"/>
          <w:b/>
          <w:bCs/>
          <w:sz w:val="32"/>
          <w:szCs w:val="32"/>
        </w:rPr>
      </w:pPr>
      <w:r>
        <w:rPr>
          <w:rFonts w:hint="eastAsia" w:ascii="宋体" w:hAnsi="宋体" w:cs="宋体"/>
          <w:sz w:val="24"/>
        </w:rPr>
        <w:br w:type="page"/>
      </w:r>
      <w:r>
        <w:rPr>
          <w:rFonts w:hint="eastAsia" w:ascii="宋体" w:hAnsi="宋体" w:cs="宋体"/>
          <w:b/>
          <w:bCs/>
          <w:sz w:val="32"/>
          <w:szCs w:val="32"/>
        </w:rPr>
        <w:t>（二）投标人资格声明/承诺函</w:t>
      </w:r>
    </w:p>
    <w:p w14:paraId="073E9996">
      <w:pPr>
        <w:spacing w:before="159" w:beforeLines="50" w:after="159" w:afterLines="50" w:line="360" w:lineRule="auto"/>
        <w:rPr>
          <w:rFonts w:hint="eastAsia" w:ascii="宋体" w:hAnsi="宋体" w:cs="宋体"/>
          <w:b/>
          <w:sz w:val="24"/>
          <w:u w:val="single"/>
        </w:rPr>
      </w:pPr>
      <w:r>
        <w:rPr>
          <w:rFonts w:hint="eastAsia" w:ascii="宋体" w:hAnsi="宋体" w:cs="宋体"/>
          <w:b/>
          <w:sz w:val="24"/>
        </w:rPr>
        <w:t>致：</w:t>
      </w:r>
      <w:r>
        <w:rPr>
          <w:rFonts w:hint="eastAsia" w:ascii="宋体" w:hAnsi="宋体" w:cs="宋体"/>
          <w:b/>
          <w:sz w:val="24"/>
          <w:u w:val="single"/>
        </w:rPr>
        <w:t xml:space="preserve">   （采购人名称、采购代理机构名称）   </w:t>
      </w:r>
    </w:p>
    <w:p w14:paraId="0796D6E7">
      <w:pPr>
        <w:adjustRightInd w:val="0"/>
        <w:snapToGrid w:val="0"/>
        <w:spacing w:line="360" w:lineRule="auto"/>
        <w:ind w:firstLine="484" w:firstLineChars="202"/>
        <w:rPr>
          <w:rFonts w:hint="eastAsia" w:ascii="宋体" w:hAnsi="宋体" w:cs="宋体"/>
          <w:sz w:val="24"/>
        </w:rPr>
      </w:pPr>
      <w:r>
        <w:rPr>
          <w:rFonts w:hint="eastAsia" w:ascii="宋体" w:hAnsi="宋体" w:cs="宋体"/>
          <w:sz w:val="24"/>
        </w:rPr>
        <w:t>我公司（企业）已阅读“</w:t>
      </w:r>
      <w:r>
        <w:rPr>
          <w:rFonts w:hint="eastAsia" w:ascii="宋体" w:hAnsi="宋体" w:cs="宋体"/>
          <w:sz w:val="24"/>
          <w:szCs w:val="20"/>
          <w:u w:val="single"/>
          <w:shd w:val="clear" w:color="auto" w:fill="FFFFFF"/>
        </w:rPr>
        <w:t>玉溪市2026年生态环境监测能力提升项目</w:t>
      </w:r>
      <w:r>
        <w:rPr>
          <w:rFonts w:hint="eastAsia" w:ascii="宋体" w:hAnsi="宋体" w:cs="宋体"/>
          <w:sz w:val="24"/>
        </w:rPr>
        <w:t>”（</w:t>
      </w:r>
      <w:r>
        <w:rPr>
          <w:rFonts w:hint="eastAsia" w:ascii="宋体" w:hAnsi="宋体" w:cs="宋体"/>
          <w:bCs/>
          <w:sz w:val="24"/>
        </w:rPr>
        <w:t>项目</w:t>
      </w:r>
      <w:r>
        <w:rPr>
          <w:rFonts w:hint="eastAsia" w:ascii="宋体" w:hAnsi="宋体" w:cs="宋体"/>
          <w:sz w:val="24"/>
        </w:rPr>
        <w:t>编号：</w:t>
      </w:r>
      <w:r>
        <w:rPr>
          <w:rFonts w:hint="eastAsia" w:ascii="宋体" w:hAnsi="宋体" w:cs="宋体"/>
          <w:sz w:val="24"/>
          <w:u w:val="single"/>
        </w:rPr>
        <w:t xml:space="preserve">              </w:t>
      </w:r>
      <w:r>
        <w:rPr>
          <w:rFonts w:hint="eastAsia" w:ascii="宋体" w:hAnsi="宋体" w:cs="宋体"/>
          <w:sz w:val="24"/>
        </w:rPr>
        <w:t>）的招标文件，本公司（企业）愿意参加投标，并声明：</w:t>
      </w:r>
    </w:p>
    <w:p w14:paraId="40BF135D">
      <w:pPr>
        <w:pStyle w:val="32"/>
        <w:tabs>
          <w:tab w:val="left" w:pos="851"/>
        </w:tabs>
        <w:adjustRightInd w:val="0"/>
        <w:snapToGrid w:val="0"/>
        <w:spacing w:line="360" w:lineRule="auto"/>
        <w:ind w:firstLine="0" w:firstLineChars="0"/>
        <w:rPr>
          <w:rFonts w:hint="eastAsia" w:ascii="宋体" w:hAnsi="宋体" w:cs="宋体"/>
          <w:bCs/>
          <w:sz w:val="24"/>
        </w:rPr>
      </w:pPr>
      <w:r>
        <w:rPr>
          <w:rFonts w:hint="eastAsia" w:ascii="宋体" w:hAnsi="宋体" w:cs="宋体"/>
          <w:sz w:val="24"/>
        </w:rPr>
        <w:t xml:space="preserve">   一、本公司（企业）承诺</w:t>
      </w:r>
      <w:r>
        <w:rPr>
          <w:rFonts w:hint="eastAsia" w:ascii="宋体" w:hAnsi="宋体" w:cs="宋体"/>
          <w:bCs/>
          <w:sz w:val="24"/>
        </w:rPr>
        <w:t>具备《中华人民共和国政府采购法》第二十二条规定的条件：</w:t>
      </w:r>
    </w:p>
    <w:p w14:paraId="7D56C081">
      <w:pPr>
        <w:widowControl/>
        <w:adjustRightInd w:val="0"/>
        <w:snapToGrid w:val="0"/>
        <w:spacing w:line="360" w:lineRule="auto"/>
        <w:ind w:firstLine="360"/>
        <w:rPr>
          <w:rFonts w:hint="eastAsia" w:ascii="宋体" w:hAnsi="宋体" w:cs="宋体"/>
          <w:kern w:val="0"/>
          <w:sz w:val="24"/>
        </w:rPr>
      </w:pPr>
      <w:r>
        <w:rPr>
          <w:rFonts w:hint="eastAsia" w:ascii="宋体" w:hAnsi="宋体" w:cs="宋体"/>
          <w:kern w:val="0"/>
          <w:sz w:val="24"/>
        </w:rPr>
        <w:t>（一）具有独立承担民事责任的能力；</w:t>
      </w:r>
    </w:p>
    <w:p w14:paraId="04242062">
      <w:pPr>
        <w:widowControl/>
        <w:adjustRightInd w:val="0"/>
        <w:snapToGrid w:val="0"/>
        <w:spacing w:line="360" w:lineRule="auto"/>
        <w:ind w:firstLine="360"/>
        <w:rPr>
          <w:rFonts w:hint="eastAsia" w:ascii="宋体" w:hAnsi="宋体" w:cs="宋体"/>
          <w:kern w:val="0"/>
          <w:sz w:val="24"/>
        </w:rPr>
      </w:pPr>
      <w:r>
        <w:rPr>
          <w:rFonts w:hint="eastAsia" w:ascii="宋体" w:hAnsi="宋体" w:cs="宋体"/>
          <w:kern w:val="0"/>
          <w:sz w:val="24"/>
        </w:rPr>
        <w:t xml:space="preserve">（二）具有良好的商业信誉和健全的财务会计制度； </w:t>
      </w:r>
    </w:p>
    <w:p w14:paraId="78FB0B77">
      <w:pPr>
        <w:widowControl/>
        <w:adjustRightInd w:val="0"/>
        <w:snapToGrid w:val="0"/>
        <w:spacing w:line="360" w:lineRule="auto"/>
        <w:ind w:firstLine="360"/>
        <w:rPr>
          <w:rFonts w:hint="eastAsia" w:ascii="宋体" w:hAnsi="宋体" w:cs="宋体"/>
          <w:kern w:val="0"/>
          <w:sz w:val="24"/>
        </w:rPr>
      </w:pPr>
      <w:r>
        <w:rPr>
          <w:rFonts w:hint="eastAsia" w:ascii="宋体" w:hAnsi="宋体" w:cs="宋体"/>
          <w:kern w:val="0"/>
          <w:sz w:val="24"/>
        </w:rPr>
        <w:t>（三）具有履行合同所必需的设备和专业技术能力；</w:t>
      </w:r>
    </w:p>
    <w:p w14:paraId="51F3D974">
      <w:pPr>
        <w:widowControl/>
        <w:adjustRightInd w:val="0"/>
        <w:snapToGrid w:val="0"/>
        <w:spacing w:line="360" w:lineRule="auto"/>
        <w:ind w:firstLine="360"/>
        <w:rPr>
          <w:rFonts w:hint="eastAsia" w:ascii="宋体" w:hAnsi="宋体" w:cs="宋体"/>
          <w:kern w:val="0"/>
          <w:sz w:val="24"/>
        </w:rPr>
      </w:pPr>
      <w:r>
        <w:rPr>
          <w:rFonts w:hint="eastAsia" w:ascii="宋体" w:hAnsi="宋体" w:cs="宋体"/>
          <w:kern w:val="0"/>
          <w:sz w:val="24"/>
        </w:rPr>
        <w:t>（四）有依法缴纳税收和社会保障资金的良好记录；</w:t>
      </w:r>
    </w:p>
    <w:p w14:paraId="12EA0F7C">
      <w:pPr>
        <w:widowControl/>
        <w:adjustRightInd w:val="0"/>
        <w:snapToGrid w:val="0"/>
        <w:spacing w:line="360" w:lineRule="auto"/>
        <w:ind w:firstLine="360"/>
        <w:rPr>
          <w:rFonts w:hint="eastAsia" w:ascii="宋体" w:hAnsi="宋体" w:cs="宋体"/>
          <w:kern w:val="0"/>
          <w:sz w:val="24"/>
        </w:rPr>
      </w:pPr>
      <w:r>
        <w:rPr>
          <w:rFonts w:hint="eastAsia" w:ascii="宋体" w:hAnsi="宋体" w:cs="宋体"/>
          <w:kern w:val="0"/>
          <w:sz w:val="24"/>
        </w:rPr>
        <w:t>（五）参加政府采购活动前三年内，在经营活动中没有重大违法记录；</w:t>
      </w:r>
    </w:p>
    <w:p w14:paraId="3860C171">
      <w:pPr>
        <w:widowControl/>
        <w:adjustRightInd w:val="0"/>
        <w:snapToGrid w:val="0"/>
        <w:spacing w:line="360" w:lineRule="auto"/>
        <w:ind w:firstLine="360"/>
        <w:rPr>
          <w:rFonts w:hint="eastAsia" w:ascii="宋体" w:hAnsi="宋体" w:cs="宋体"/>
          <w:kern w:val="0"/>
          <w:sz w:val="24"/>
        </w:rPr>
      </w:pPr>
      <w:r>
        <w:rPr>
          <w:rFonts w:hint="eastAsia" w:ascii="宋体" w:hAnsi="宋体" w:cs="宋体"/>
          <w:kern w:val="0"/>
          <w:sz w:val="24"/>
        </w:rPr>
        <w:t>（六）法律、行政法规规定的其他条件。</w:t>
      </w:r>
    </w:p>
    <w:p w14:paraId="72E9EB22">
      <w:pPr>
        <w:widowControl/>
        <w:adjustRightInd w:val="0"/>
        <w:snapToGrid w:val="0"/>
        <w:spacing w:line="360" w:lineRule="auto"/>
        <w:ind w:firstLine="360"/>
        <w:rPr>
          <w:rFonts w:hint="eastAsia" w:ascii="宋体" w:hAnsi="宋体" w:cs="宋体"/>
          <w:kern w:val="0"/>
          <w:sz w:val="24"/>
        </w:rPr>
      </w:pPr>
      <w:r>
        <w:rPr>
          <w:rFonts w:hint="eastAsia" w:ascii="宋体" w:hAnsi="宋体" w:cs="宋体"/>
          <w:kern w:val="0"/>
          <w:sz w:val="24"/>
        </w:rPr>
        <w:t>及《中华人民共和国政府采购法实施条例》第十七条的相关要求；</w:t>
      </w:r>
    </w:p>
    <w:p w14:paraId="12EE6473">
      <w:pPr>
        <w:numPr>
          <w:ilvl w:val="0"/>
          <w:numId w:val="5"/>
        </w:numPr>
        <w:adjustRightInd w:val="0"/>
        <w:snapToGrid w:val="0"/>
        <w:spacing w:line="360" w:lineRule="auto"/>
        <w:ind w:firstLine="484" w:firstLineChars="202"/>
        <w:rPr>
          <w:rFonts w:hint="eastAsia" w:ascii="宋体" w:hAnsi="宋体" w:cs="宋体"/>
          <w:sz w:val="24"/>
        </w:rPr>
      </w:pPr>
      <w:r>
        <w:rPr>
          <w:rFonts w:hint="eastAsia" w:ascii="宋体" w:hAnsi="宋体" w:cs="宋体"/>
          <w:sz w:val="24"/>
        </w:rPr>
        <w:t>本公司（企业）承诺在本次招标采购活动中，如有违法、违规、弄虚作假行为，所造成的损失、不良后果及法律责任，一律由我公司（企业）承担。</w:t>
      </w:r>
    </w:p>
    <w:p w14:paraId="5E90553C">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三、本公司（企业）声明/承诺函上述所列内容如有虚假或与事实不符的，一经查实，我方将承担完全法律责任，且采购人有权取消我方的投标或中标资格，已签订合同的，采购人有权单方面终止合同。</w:t>
      </w:r>
    </w:p>
    <w:p w14:paraId="6222C73F">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特此声明！</w:t>
      </w:r>
    </w:p>
    <w:p w14:paraId="6B429DAA">
      <w:pPr>
        <w:spacing w:line="360" w:lineRule="auto"/>
        <w:ind w:firstLine="420"/>
        <w:rPr>
          <w:rFonts w:hint="eastAsia" w:ascii="宋体" w:hAnsi="宋体" w:cs="宋体"/>
          <w:sz w:val="24"/>
        </w:rPr>
      </w:pPr>
    </w:p>
    <w:p w14:paraId="75A78488">
      <w:pPr>
        <w:shd w:val="solid" w:color="FFFFFF" w:fill="auto"/>
        <w:autoSpaceDN w:val="0"/>
        <w:spacing w:line="360" w:lineRule="auto"/>
        <w:jc w:val="left"/>
        <w:rPr>
          <w:rFonts w:hint="eastAsia" w:ascii="宋体" w:hAnsi="宋体" w:cs="宋体"/>
          <w:sz w:val="24"/>
          <w:shd w:val="clear" w:color="auto" w:fill="FFFFFF"/>
        </w:rPr>
      </w:pPr>
      <w:r>
        <w:rPr>
          <w:rFonts w:hint="eastAsia" w:ascii="宋体" w:hAnsi="宋体" w:cs="宋体"/>
          <w:sz w:val="24"/>
        </w:rPr>
        <w:t>投标人：</w:t>
      </w:r>
      <w:r>
        <w:rPr>
          <w:rFonts w:hint="eastAsia" w:ascii="宋体" w:hAnsi="宋体" w:cs="宋体"/>
          <w:sz w:val="24"/>
          <w:u w:val="single"/>
        </w:rPr>
        <w:t xml:space="preserve">      （投标人全称）      </w:t>
      </w:r>
      <w:r>
        <w:rPr>
          <w:rFonts w:hint="eastAsia" w:ascii="宋体" w:hAnsi="宋体" w:cs="宋体"/>
          <w:sz w:val="24"/>
        </w:rPr>
        <w:t>（电子签章）</w:t>
      </w:r>
    </w:p>
    <w:p w14:paraId="36944653">
      <w:pPr>
        <w:shd w:val="solid" w:color="FFFFFF" w:fill="auto"/>
        <w:autoSpaceDN w:val="0"/>
        <w:spacing w:line="360" w:lineRule="auto"/>
        <w:jc w:val="left"/>
        <w:rPr>
          <w:rFonts w:hint="eastAsia" w:ascii="宋体" w:hAnsi="宋体" w:cs="宋体"/>
          <w:sz w:val="24"/>
          <w:shd w:val="clear" w:color="auto" w:fill="FFFFFF"/>
        </w:rPr>
      </w:pPr>
      <w:r>
        <w:rPr>
          <w:rFonts w:hint="eastAsia" w:ascii="宋体" w:hAnsi="宋体" w:cs="宋体"/>
          <w:sz w:val="24"/>
          <w:shd w:val="clear" w:color="auto" w:fill="FFFFFF"/>
        </w:rPr>
        <w:t>法定代表人或其委托代理人：</w:t>
      </w:r>
      <w:r>
        <w:rPr>
          <w:rFonts w:hint="eastAsia" w:ascii="宋体" w:hAnsi="宋体" w:cs="宋体"/>
          <w:sz w:val="24"/>
          <w:u w:val="single"/>
          <w:shd w:val="clear" w:color="auto" w:fill="FFFFFF"/>
        </w:rPr>
        <w:t xml:space="preserve">　               </w:t>
      </w:r>
      <w:r>
        <w:rPr>
          <w:rFonts w:hint="eastAsia" w:ascii="宋体" w:hAnsi="宋体" w:cs="宋体"/>
          <w:sz w:val="24"/>
          <w:shd w:val="clear" w:color="auto" w:fill="FFFFFF"/>
        </w:rPr>
        <w:t>（电子签章或电子签名）</w:t>
      </w:r>
    </w:p>
    <w:p w14:paraId="715AADCC">
      <w:pPr>
        <w:tabs>
          <w:tab w:val="right" w:pos="8306"/>
        </w:tabs>
        <w:spacing w:line="360" w:lineRule="auto"/>
        <w:rPr>
          <w:rFonts w:hint="eastAsia" w:ascii="宋体" w:hAnsi="宋体" w:cs="宋体"/>
          <w:sz w:val="24"/>
        </w:rPr>
      </w:pPr>
      <w:r>
        <w:rPr>
          <w:rFonts w:hint="eastAsia" w:ascii="宋体" w:hAnsi="宋体" w:cs="宋体"/>
          <w:sz w:val="24"/>
        </w:rPr>
        <w:t>日期：</w:t>
      </w:r>
      <w:r>
        <w:rPr>
          <w:rFonts w:hint="eastAsia" w:ascii="宋体" w:hAnsi="宋体" w:cs="宋体"/>
          <w:sz w:val="24"/>
          <w:u w:val="single"/>
          <w:shd w:val="clear" w:color="auto" w:fill="FFFFFF"/>
        </w:rPr>
        <w:t xml:space="preserve">　    </w:t>
      </w:r>
      <w:r>
        <w:rPr>
          <w:rFonts w:hint="eastAsia" w:ascii="宋体" w:hAnsi="宋体" w:cs="宋体"/>
          <w:sz w:val="24"/>
        </w:rPr>
        <w:t>年</w:t>
      </w:r>
      <w:r>
        <w:rPr>
          <w:rFonts w:hint="eastAsia" w:ascii="宋体" w:hAnsi="宋体" w:cs="宋体"/>
          <w:sz w:val="24"/>
          <w:u w:val="single"/>
          <w:shd w:val="clear" w:color="auto" w:fill="FFFFFF"/>
        </w:rPr>
        <w:t xml:space="preserve">　    </w:t>
      </w:r>
      <w:r>
        <w:rPr>
          <w:rFonts w:hint="eastAsia" w:ascii="宋体" w:hAnsi="宋体" w:cs="宋体"/>
          <w:sz w:val="24"/>
        </w:rPr>
        <w:t>月</w:t>
      </w:r>
      <w:r>
        <w:rPr>
          <w:rFonts w:hint="eastAsia" w:ascii="宋体" w:hAnsi="宋体" w:cs="宋体"/>
          <w:sz w:val="24"/>
          <w:u w:val="single"/>
          <w:shd w:val="clear" w:color="auto" w:fill="FFFFFF"/>
        </w:rPr>
        <w:t xml:space="preserve">　    </w:t>
      </w:r>
      <w:r>
        <w:rPr>
          <w:rFonts w:hint="eastAsia" w:ascii="宋体" w:hAnsi="宋体" w:cs="宋体"/>
          <w:sz w:val="24"/>
        </w:rPr>
        <w:t>日</w:t>
      </w:r>
    </w:p>
    <w:p w14:paraId="3ECA6E89">
      <w:pPr>
        <w:pStyle w:val="29"/>
        <w:spacing w:line="360" w:lineRule="auto"/>
        <w:rPr>
          <w:rFonts w:hint="eastAsia" w:ascii="宋体" w:hAnsi="宋体" w:cs="宋体"/>
        </w:rPr>
      </w:pPr>
    </w:p>
    <w:p w14:paraId="76FF4852">
      <w:pPr>
        <w:tabs>
          <w:tab w:val="right" w:pos="8306"/>
        </w:tabs>
        <w:spacing w:line="360" w:lineRule="auto"/>
        <w:rPr>
          <w:rFonts w:hint="eastAsia" w:ascii="宋体" w:hAnsi="宋体" w:cs="宋体"/>
          <w:sz w:val="24"/>
        </w:rPr>
      </w:pPr>
    </w:p>
    <w:p w14:paraId="3A8667BA">
      <w:pPr>
        <w:pStyle w:val="29"/>
        <w:spacing w:line="360" w:lineRule="auto"/>
        <w:rPr>
          <w:rFonts w:hint="eastAsia" w:ascii="宋体" w:hAnsi="宋体" w:cs="宋体"/>
        </w:rPr>
      </w:pPr>
      <w:bookmarkStart w:id="228" w:name="_Toc24328"/>
      <w:bookmarkStart w:id="229" w:name="_Toc13388"/>
      <w:bookmarkStart w:id="230" w:name="_Toc4827"/>
    </w:p>
    <w:p w14:paraId="514620D0">
      <w:pPr>
        <w:topLinePunct/>
        <w:spacing w:line="360" w:lineRule="auto"/>
        <w:jc w:val="center"/>
        <w:outlineLvl w:val="1"/>
        <w:rPr>
          <w:rFonts w:hint="eastAsia" w:ascii="宋体" w:hAnsi="宋体" w:cs="宋体"/>
          <w:b/>
          <w:bCs/>
          <w:sz w:val="32"/>
          <w:szCs w:val="44"/>
        </w:rPr>
      </w:pPr>
      <w:bookmarkStart w:id="231" w:name="_Toc22202"/>
      <w:bookmarkStart w:id="232" w:name="_Toc3237"/>
      <w:bookmarkStart w:id="233" w:name="_Toc22623"/>
      <w:bookmarkStart w:id="234" w:name="_Toc31812"/>
    </w:p>
    <w:p w14:paraId="0A65A807">
      <w:pPr>
        <w:topLinePunct/>
        <w:spacing w:line="360" w:lineRule="auto"/>
        <w:jc w:val="center"/>
        <w:outlineLvl w:val="1"/>
        <w:rPr>
          <w:rFonts w:hint="eastAsia" w:ascii="宋体" w:hAnsi="宋体" w:cs="宋体"/>
          <w:b/>
          <w:bCs/>
          <w:sz w:val="22"/>
          <w:szCs w:val="28"/>
        </w:rPr>
      </w:pPr>
      <w:r>
        <w:rPr>
          <w:rFonts w:hint="eastAsia" w:ascii="宋体" w:hAnsi="宋体" w:cs="宋体"/>
          <w:b/>
          <w:bCs/>
          <w:sz w:val="32"/>
          <w:szCs w:val="44"/>
        </w:rPr>
        <w:t>（三）投标人相关资格证件</w:t>
      </w:r>
      <w:bookmarkEnd w:id="227"/>
      <w:bookmarkEnd w:id="228"/>
      <w:r>
        <w:rPr>
          <w:rFonts w:hint="eastAsia" w:ascii="宋体" w:hAnsi="宋体" w:cs="宋体"/>
          <w:b/>
          <w:bCs/>
          <w:sz w:val="32"/>
          <w:szCs w:val="44"/>
        </w:rPr>
        <w:t>复印件</w:t>
      </w:r>
      <w:bookmarkEnd w:id="229"/>
      <w:bookmarkEnd w:id="230"/>
      <w:r>
        <w:rPr>
          <w:rFonts w:hint="eastAsia" w:ascii="宋体" w:hAnsi="宋体" w:cs="宋体"/>
          <w:b/>
          <w:bCs/>
          <w:sz w:val="32"/>
          <w:szCs w:val="44"/>
        </w:rPr>
        <w:t>或扫描件</w:t>
      </w:r>
      <w:bookmarkEnd w:id="231"/>
      <w:bookmarkEnd w:id="232"/>
      <w:bookmarkEnd w:id="233"/>
      <w:bookmarkEnd w:id="234"/>
    </w:p>
    <w:p w14:paraId="78EBCD8F">
      <w:pPr>
        <w:pStyle w:val="33"/>
        <w:spacing w:line="360" w:lineRule="auto"/>
        <w:rPr>
          <w:rFonts w:hint="eastAsia" w:ascii="宋体" w:hAnsi="宋体" w:cs="宋体"/>
          <w:color w:val="auto"/>
          <w:kern w:val="2"/>
          <w:szCs w:val="22"/>
          <w:shd w:val="clear" w:color="auto" w:fill="FFFFFF"/>
        </w:rPr>
      </w:pPr>
      <w:r>
        <w:rPr>
          <w:rFonts w:hint="eastAsia" w:ascii="宋体" w:hAnsi="宋体" w:cs="宋体"/>
          <w:color w:val="auto"/>
          <w:kern w:val="2"/>
          <w:szCs w:val="22"/>
          <w:shd w:val="clear" w:color="auto" w:fill="FFFFFF"/>
        </w:rPr>
        <w:t>1、有效的营业执照或者其他主体资格证明文件，或自然人的身份证明；</w:t>
      </w:r>
    </w:p>
    <w:p w14:paraId="0939EFEC">
      <w:pPr>
        <w:pStyle w:val="33"/>
        <w:spacing w:line="360" w:lineRule="auto"/>
        <w:ind w:firstLine="480" w:firstLineChars="200"/>
        <w:rPr>
          <w:rFonts w:hint="eastAsia" w:ascii="宋体" w:hAnsi="宋体" w:cs="宋体"/>
          <w:color w:val="auto"/>
          <w:kern w:val="2"/>
          <w:szCs w:val="22"/>
          <w:shd w:val="clear" w:color="auto" w:fill="FFFFFF"/>
        </w:rPr>
      </w:pPr>
      <w:r>
        <w:rPr>
          <w:rFonts w:hint="eastAsia" w:ascii="宋体" w:hAnsi="宋体" w:cs="宋体"/>
          <w:color w:val="auto"/>
          <w:kern w:val="2"/>
          <w:szCs w:val="22"/>
          <w:shd w:val="clear" w:color="auto" w:fill="FFFFFF"/>
        </w:rPr>
        <w:t>（附复印件或扫描件）</w:t>
      </w:r>
    </w:p>
    <w:p w14:paraId="0EB5E5B6">
      <w:pPr>
        <w:pStyle w:val="33"/>
        <w:spacing w:line="360" w:lineRule="auto"/>
        <w:rPr>
          <w:rFonts w:hint="eastAsia" w:ascii="宋体" w:hAnsi="宋体" w:cs="宋体"/>
          <w:color w:val="auto"/>
          <w:kern w:val="2"/>
          <w:szCs w:val="22"/>
          <w:shd w:val="clear" w:color="auto" w:fill="FFFFFF"/>
        </w:rPr>
      </w:pPr>
    </w:p>
    <w:p w14:paraId="733A3AB3">
      <w:pPr>
        <w:pStyle w:val="33"/>
        <w:spacing w:line="360" w:lineRule="auto"/>
        <w:rPr>
          <w:rFonts w:hint="eastAsia" w:ascii="宋体" w:hAnsi="宋体" w:cs="宋体"/>
          <w:color w:val="auto"/>
          <w:kern w:val="2"/>
          <w:szCs w:val="22"/>
          <w:shd w:val="clear" w:color="auto" w:fill="FFFFFF"/>
        </w:rPr>
      </w:pPr>
    </w:p>
    <w:p w14:paraId="1BEADF17">
      <w:pPr>
        <w:spacing w:line="360" w:lineRule="auto"/>
        <w:rPr>
          <w:rFonts w:hint="eastAsia" w:ascii="宋体" w:hAnsi="宋体" w:cs="宋体"/>
          <w:sz w:val="24"/>
          <w:szCs w:val="22"/>
          <w:shd w:val="clear" w:color="auto" w:fill="FFFFFF"/>
        </w:rPr>
      </w:pPr>
    </w:p>
    <w:p w14:paraId="1C7D24CA">
      <w:pPr>
        <w:spacing w:line="360" w:lineRule="auto"/>
        <w:rPr>
          <w:rFonts w:hint="eastAsia" w:ascii="宋体" w:hAnsi="宋体" w:cs="宋体"/>
          <w:sz w:val="24"/>
          <w:szCs w:val="22"/>
          <w:shd w:val="clear" w:color="auto" w:fill="FFFFFF"/>
        </w:rPr>
      </w:pPr>
    </w:p>
    <w:p w14:paraId="07F90C0A">
      <w:pPr>
        <w:spacing w:line="360" w:lineRule="auto"/>
        <w:rPr>
          <w:rFonts w:hint="eastAsia" w:ascii="宋体" w:hAnsi="宋体" w:cs="宋体"/>
        </w:rPr>
      </w:pPr>
      <w:r>
        <w:rPr>
          <w:rFonts w:hint="eastAsia" w:ascii="宋体" w:hAnsi="宋体" w:cs="宋体"/>
          <w:sz w:val="24"/>
          <w:szCs w:val="22"/>
          <w:shd w:val="clear" w:color="auto" w:fill="FFFFFF"/>
        </w:rPr>
        <w:t>2、其他资格审查材料（如有）。</w:t>
      </w:r>
    </w:p>
    <w:p w14:paraId="784F8703">
      <w:pPr>
        <w:spacing w:line="360" w:lineRule="auto"/>
        <w:rPr>
          <w:rFonts w:hint="eastAsia" w:ascii="宋体" w:hAnsi="宋体" w:cs="宋体"/>
        </w:rPr>
      </w:pPr>
    </w:p>
    <w:p w14:paraId="1DFB84D0">
      <w:pPr>
        <w:spacing w:line="360" w:lineRule="auto"/>
        <w:rPr>
          <w:rFonts w:hint="eastAsia" w:ascii="宋体" w:hAnsi="宋体" w:cs="宋体"/>
        </w:rPr>
      </w:pPr>
    </w:p>
    <w:p w14:paraId="5522E9D1">
      <w:pPr>
        <w:pStyle w:val="2"/>
        <w:spacing w:line="360" w:lineRule="auto"/>
        <w:rPr>
          <w:rFonts w:hint="eastAsia" w:ascii="宋体" w:hAnsi="宋体" w:cs="宋体"/>
        </w:rPr>
      </w:pPr>
    </w:p>
    <w:sectPr>
      <w:pgSz w:w="11906" w:h="16838"/>
      <w:pgMar w:top="1440" w:right="1803" w:bottom="1440" w:left="1803" w:header="851" w:footer="992" w:gutter="0"/>
      <w:pgNumType w:fmt="decimal"/>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embedRegular r:id="rId1" w:fontKey="{465BC5A7-11CD-4BA5-B391-75E9CA6D4A5B}"/>
  </w:font>
  <w:font w:name="宋体">
    <w:panose1 w:val="02010600030101010101"/>
    <w:charset w:val="88"/>
    <w:family w:val="roman"/>
    <w:pitch w:val="default"/>
    <w:sig w:usb0="00000003" w:usb1="288F0000" w:usb2="00000006" w:usb3="00000000" w:csb0="00040001" w:csb1="00000000"/>
    <w:embedRegular r:id="rId2" w:fontKey="{81077599-DE1F-46ED-845E-623BCC927395}"/>
  </w:font>
  <w:font w:name="Wingdings">
    <w:panose1 w:val="05000000000000000000"/>
    <w:charset w:val="02"/>
    <w:family w:val="auto"/>
    <w:pitch w:val="default"/>
    <w:sig w:usb0="00000000" w:usb1="00000000" w:usb2="00000000" w:usb3="00000000" w:csb0="80000000" w:csb1="00000000"/>
    <w:embedRegular r:id="rId3" w:fontKey="{9943359B-5986-4E77-84DC-DF66C3D2ADE3}"/>
  </w:font>
  <w:font w:name="Arial">
    <w:panose1 w:val="020B0604020202020204"/>
    <w:charset w:val="01"/>
    <w:family w:val="swiss"/>
    <w:pitch w:val="default"/>
    <w:sig w:usb0="E0002EFF" w:usb1="C000785B" w:usb2="00000009" w:usb3="00000000" w:csb0="400001FF" w:csb1="FFFF0000"/>
    <w:embedRegular r:id="rId4" w:fontKey="{56C8B352-7129-419A-A0F1-7D420E652256}"/>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5" w:fontKey="{FBFA9087-49B5-4733-9E15-B880C8AE16EF}"/>
  </w:font>
  <w:font w:name="Symbol">
    <w:panose1 w:val="05050102010706020507"/>
    <w:charset w:val="02"/>
    <w:family w:val="roman"/>
    <w:pitch w:val="default"/>
    <w:sig w:usb0="00000000" w:usb1="00000000" w:usb2="00000000" w:usb3="00000000" w:csb0="80000000" w:csb1="00000000"/>
    <w:embedRegular r:id="rId6" w:fontKey="{32B58BC4-458E-4B95-A3B6-9D01AACCF0A8}"/>
  </w:font>
  <w:font w:name="Calibri">
    <w:panose1 w:val="020F0502020204030204"/>
    <w:charset w:val="00"/>
    <w:family w:val="swiss"/>
    <w:pitch w:val="default"/>
    <w:sig w:usb0="E4002EFF" w:usb1="C000247B" w:usb2="00000009" w:usb3="00000000" w:csb0="200001FF" w:csb1="00000000"/>
    <w:embedRegular r:id="rId7" w:fontKey="{F179AB75-D45C-42F4-9262-C2A8307B9302}"/>
  </w:font>
  <w:font w:name="Cambria">
    <w:panose1 w:val="02040503050406030204"/>
    <w:charset w:val="00"/>
    <w:family w:val="roman"/>
    <w:pitch w:val="default"/>
    <w:sig w:usb0="E00006FF" w:usb1="420024FF" w:usb2="02000000" w:usb3="00000000" w:csb0="2000019F" w:csb1="00000000"/>
    <w:embedRegular r:id="rId8" w:fontKey="{DA5E0F39-2852-4D8A-AC35-237176FDC802}"/>
  </w:font>
  <w:font w:name="微软雅黑">
    <w:panose1 w:val="020B0503020204020204"/>
    <w:charset w:val="86"/>
    <w:family w:val="swiss"/>
    <w:pitch w:val="default"/>
    <w:sig w:usb0="80000287" w:usb1="2ACF3C50" w:usb2="00000016" w:usb3="00000000" w:csb0="0004001F" w:csb1="00000000"/>
    <w:embedRegular r:id="rId9" w:fontKey="{7E3AA557-B228-42FF-9BFA-9F780AF2E820}"/>
  </w:font>
  <w:font w:name="Verdana">
    <w:panose1 w:val="020B0604030504040204"/>
    <w:charset w:val="00"/>
    <w:family w:val="swiss"/>
    <w:pitch w:val="default"/>
    <w:sig w:usb0="A00006FF" w:usb1="4000205B" w:usb2="00000010" w:usb3="00000000" w:csb0="2000019F" w:csb1="00000000"/>
    <w:embedRegular r:id="rId10" w:fontKey="{78B2582F-54AD-4F21-9CDE-FE850E1D97B8}"/>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embedRegular r:id="rId11" w:fontKey="{E20E67EF-237B-477F-8438-7674392A3F77}"/>
  </w:font>
  <w:font w:name="方正黑体_GBK">
    <w:panose1 w:val="02010600010101010101"/>
    <w:charset w:val="86"/>
    <w:family w:val="auto"/>
    <w:pitch w:val="default"/>
    <w:sig w:usb0="00000001" w:usb1="080E0000" w:usb2="00000000" w:usb3="00000000" w:csb0="00040000" w:csb1="00000000"/>
    <w:embedRegular r:id="rId12" w:fontKey="{A26F3E71-5CE1-4B23-8FE0-1EA1929D4893}"/>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embedRegular r:id="rId13" w:fontKey="{8CA29E76-8010-4D1C-AD56-CA6C08B06D5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D023F">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AAE09">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239BF5">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7239BF5">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D07402"/>
    <w:multiLevelType w:val="multilevel"/>
    <w:tmpl w:val="A6D07402"/>
    <w:lvl w:ilvl="0" w:tentative="0">
      <w:start w:val="1"/>
      <w:numFmt w:val="chineseCounting"/>
      <w:suff w:val="nothing"/>
      <w:lvlText w:val="%1、"/>
      <w:lvlJc w:val="left"/>
      <w:pPr>
        <w:tabs>
          <w:tab w:val="left" w:pos="0"/>
        </w:tabs>
        <w:ind w:left="0" w:firstLine="0"/>
      </w:pPr>
      <w:rPr>
        <w:rFonts w:hint="eastAsia" w:ascii="黑体" w:hAnsi="黑体" w:eastAsia="黑体"/>
      </w:rPr>
    </w:lvl>
    <w:lvl w:ilvl="1" w:tentative="0">
      <w:start w:val="1"/>
      <w:numFmt w:val="chineseCounting"/>
      <w:suff w:val="nothing"/>
      <w:lvlText w:val="（%2）"/>
      <w:lvlJc w:val="left"/>
      <w:pPr>
        <w:tabs>
          <w:tab w:val="left" w:pos="0"/>
        </w:tabs>
        <w:ind w:left="0" w:firstLine="0"/>
      </w:pPr>
      <w:rPr>
        <w:rFonts w:hint="eastAsia" w:ascii="黑体" w:hAnsi="黑体" w:eastAsia="黑体"/>
      </w:rPr>
    </w:lvl>
    <w:lvl w:ilvl="2" w:tentative="0">
      <w:start w:val="1"/>
      <w:numFmt w:val="decimal"/>
      <w:suff w:val="nothing"/>
      <w:lvlText w:val="%3．"/>
      <w:lvlJc w:val="left"/>
      <w:pPr>
        <w:tabs>
          <w:tab w:val="left" w:pos="0"/>
        </w:tabs>
        <w:ind w:left="0" w:firstLine="0"/>
      </w:pPr>
      <w:rPr>
        <w:rFonts w:hint="default" w:ascii="黑体" w:hAnsi="黑体" w:eastAsia="黑体"/>
        <w:color w:val="auto"/>
      </w:rPr>
    </w:lvl>
    <w:lvl w:ilvl="3" w:tentative="0">
      <w:start w:val="1"/>
      <w:numFmt w:val="decimal"/>
      <w:pStyle w:val="7"/>
      <w:suff w:val="nothing"/>
      <w:lvlText w:val="（%4）"/>
      <w:lvlJc w:val="left"/>
      <w:pPr>
        <w:tabs>
          <w:tab w:val="left" w:pos="0"/>
        </w:tabs>
        <w:ind w:left="0" w:firstLine="0"/>
      </w:pPr>
      <w:rPr>
        <w:rFonts w:hint="eastAsia" w:ascii="黑体" w:hAnsi="黑体" w:eastAsia="黑体"/>
      </w:rPr>
    </w:lvl>
    <w:lvl w:ilvl="4" w:tentative="0">
      <w:start w:val="1"/>
      <w:numFmt w:val="decimalEnclosedCircleChinese"/>
      <w:suff w:val="space"/>
      <w:lvlText w:val="%5"/>
      <w:lvlJc w:val="left"/>
      <w:pPr>
        <w:ind w:left="0" w:firstLine="0"/>
      </w:pPr>
      <w:rPr>
        <w:rFonts w:hint="eastAsia" w:ascii="黑体" w:hAnsi="黑体" w:eastAsia="黑体"/>
      </w:rPr>
    </w:lvl>
    <w:lvl w:ilvl="5" w:tentative="0">
      <w:start w:val="1"/>
      <w:numFmt w:val="decimal"/>
      <w:suff w:val="nothing"/>
      <w:lvlText w:val="%6）"/>
      <w:lvlJc w:val="left"/>
      <w:pPr>
        <w:ind w:left="0" w:firstLine="0"/>
      </w:pPr>
      <w:rPr>
        <w:rFonts w:hint="eastAsia"/>
      </w:rPr>
    </w:lvl>
    <w:lvl w:ilvl="6" w:tentative="0">
      <w:start w:val="1"/>
      <w:numFmt w:val="lowerLetter"/>
      <w:suff w:val="nothing"/>
      <w:lvlText w:val="%7．"/>
      <w:lvlJc w:val="left"/>
      <w:pPr>
        <w:ind w:left="0" w:firstLine="0"/>
      </w:pPr>
      <w:rPr>
        <w:rFonts w:hint="eastAsia"/>
      </w:rPr>
    </w:lvl>
    <w:lvl w:ilvl="7" w:tentative="0">
      <w:start w:val="1"/>
      <w:numFmt w:val="lowerLetter"/>
      <w:suff w:val="nothing"/>
      <w:lvlText w:val="%8）"/>
      <w:lvlJc w:val="left"/>
      <w:pPr>
        <w:ind w:left="0" w:firstLine="0"/>
      </w:pPr>
      <w:rPr>
        <w:rFonts w:hint="eastAsia"/>
      </w:rPr>
    </w:lvl>
    <w:lvl w:ilvl="8" w:tentative="0">
      <w:start w:val="1"/>
      <w:numFmt w:val="lowerRoman"/>
      <w:suff w:val="nothing"/>
      <w:lvlText w:val="%9 "/>
      <w:lvlJc w:val="left"/>
      <w:pPr>
        <w:ind w:left="0" w:firstLine="0"/>
      </w:pPr>
      <w:rPr>
        <w:rFonts w:hint="eastAsia"/>
      </w:rPr>
    </w:lvl>
  </w:abstractNum>
  <w:abstractNum w:abstractNumId="1">
    <w:nsid w:val="F0D8844C"/>
    <w:multiLevelType w:val="multilevel"/>
    <w:tmpl w:val="F0D8844C"/>
    <w:lvl w:ilvl="0" w:tentative="0">
      <w:start w:val="1"/>
      <w:numFmt w:val="decimal"/>
      <w:lvlText w:val="%1."/>
      <w:lvlJc w:val="left"/>
      <w:pPr>
        <w:tabs>
          <w:tab w:val="left" w:pos="397"/>
        </w:tabs>
        <w:ind w:left="0" w:firstLine="0"/>
      </w:pPr>
      <w:rPr>
        <w:rFonts w:hint="default"/>
      </w:rPr>
    </w:lvl>
    <w:lvl w:ilvl="1" w:tentative="0">
      <w:start w:val="1"/>
      <w:numFmt w:val="decimal"/>
      <w:suff w:val="space"/>
      <w:lvlText w:val="%1.%2"/>
      <w:lvlJc w:val="left"/>
      <w:pPr>
        <w:ind w:left="0" w:firstLine="0"/>
      </w:pPr>
    </w:lvl>
    <w:lvl w:ilvl="2" w:tentative="0">
      <w:start w:val="1"/>
      <w:numFmt w:val="decimal"/>
      <w:suff w:val="space"/>
      <w:lvlText w:val="%1.%2.%3"/>
      <w:lvlJc w:val="left"/>
      <w:pPr>
        <w:ind w:left="0" w:firstLine="0"/>
      </w:pPr>
    </w:lvl>
    <w:lvl w:ilvl="3" w:tentative="0">
      <w:start w:val="1"/>
      <w:numFmt w:val="decimal"/>
      <w:suff w:val="space"/>
      <w:lvlText w:val="%1.%2.%3.%4"/>
      <w:lvlJc w:val="left"/>
      <w:pPr>
        <w:ind w:left="0" w:firstLine="0"/>
      </w:pPr>
    </w:lvl>
    <w:lvl w:ilvl="4" w:tentative="0">
      <w:start w:val="1"/>
      <w:numFmt w:val="decimal"/>
      <w:suff w:val="space"/>
      <w:lvlText w:val="%1.%2.%3.%4.%5"/>
      <w:lvlJc w:val="left"/>
      <w:pPr>
        <w:ind w:left="0" w:firstLine="0"/>
      </w:pPr>
    </w:lvl>
    <w:lvl w:ilvl="5" w:tentative="0">
      <w:start w:val="1"/>
      <w:numFmt w:val="decimal"/>
      <w:suff w:val="space"/>
      <w:lvlText w:val="%1.%2.%3.%4.%5.%6"/>
      <w:lvlJc w:val="left"/>
      <w:pPr>
        <w:ind w:left="0" w:firstLine="0"/>
      </w:pPr>
    </w:lvl>
    <w:lvl w:ilvl="6" w:tentative="0">
      <w:start w:val="1"/>
      <w:numFmt w:val="decimal"/>
      <w:suff w:val="space"/>
      <w:lvlText w:val="%1.%2.%3.%4.%5.%6.%7"/>
      <w:lvlJc w:val="left"/>
      <w:pPr>
        <w:ind w:left="0" w:firstLine="0"/>
      </w:pPr>
    </w:lvl>
    <w:lvl w:ilvl="7" w:tentative="0">
      <w:start w:val="1"/>
      <w:numFmt w:val="decimal"/>
      <w:suff w:val="space"/>
      <w:lvlText w:val="%1.%2.%3.%4.%5.%6.%7.%8"/>
      <w:lvlJc w:val="left"/>
      <w:pPr>
        <w:ind w:left="0" w:firstLine="0"/>
      </w:pPr>
    </w:lvl>
    <w:lvl w:ilvl="8" w:tentative="0">
      <w:start w:val="1"/>
      <w:numFmt w:val="decimal"/>
      <w:suff w:val="space"/>
      <w:lvlText w:val="%1.%2.%3.%4.%5.%6.%7.%8.%9"/>
      <w:lvlJc w:val="left"/>
      <w:pPr>
        <w:ind w:left="0" w:firstLine="0"/>
      </w:pPr>
    </w:lvl>
  </w:abstractNum>
  <w:abstractNum w:abstractNumId="2">
    <w:nsid w:val="6153E03B"/>
    <w:multiLevelType w:val="singleLevel"/>
    <w:tmpl w:val="6153E03B"/>
    <w:lvl w:ilvl="0" w:tentative="0">
      <w:start w:val="2"/>
      <w:numFmt w:val="chineseCounting"/>
      <w:suff w:val="nothing"/>
      <w:lvlText w:val="%1、"/>
      <w:lvlJc w:val="left"/>
    </w:lvl>
  </w:abstractNum>
  <w:abstractNum w:abstractNumId="3">
    <w:nsid w:val="64B7B9B2"/>
    <w:multiLevelType w:val="singleLevel"/>
    <w:tmpl w:val="64B7B9B2"/>
    <w:lvl w:ilvl="0" w:tentative="0">
      <w:start w:val="2"/>
      <w:numFmt w:val="chineseCounting"/>
      <w:suff w:val="nothing"/>
      <w:lvlText w:val="（%1）"/>
      <w:lvlJc w:val="left"/>
    </w:lvl>
  </w:abstractNum>
  <w:abstractNum w:abstractNumId="4">
    <w:nsid w:val="65BF5F77"/>
    <w:multiLevelType w:val="singleLevel"/>
    <w:tmpl w:val="65BF5F77"/>
    <w:lvl w:ilvl="0" w:tentative="0">
      <w:start w:val="3"/>
      <w:numFmt w:val="decimal"/>
      <w:suff w:val="nothing"/>
      <w:lvlText w:val="（%1）"/>
      <w:lvlJc w:val="left"/>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embedSystemFonts/>
  <w:bordersDoNotSurroundHeader w:val="1"/>
  <w:bordersDoNotSurroundFooter w:val="1"/>
  <w:documentProtection w:enforcement="0"/>
  <w:defaultTabStop w:val="420"/>
  <w:drawingGridVerticalSpacing w:val="159"/>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VjMTVmYTdjM2IyZTNhYzM3NzgwMDZmODZkNzRiZTMifQ=="/>
  </w:docVars>
  <w:rsids>
    <w:rsidRoot w:val="53157F3E"/>
    <w:rsid w:val="00046CA0"/>
    <w:rsid w:val="00186BF0"/>
    <w:rsid w:val="001B5541"/>
    <w:rsid w:val="001F0667"/>
    <w:rsid w:val="00411CA3"/>
    <w:rsid w:val="004C31DA"/>
    <w:rsid w:val="005D4603"/>
    <w:rsid w:val="00657E84"/>
    <w:rsid w:val="006E0CEB"/>
    <w:rsid w:val="0083742C"/>
    <w:rsid w:val="0089189B"/>
    <w:rsid w:val="00902C2A"/>
    <w:rsid w:val="009166AA"/>
    <w:rsid w:val="009432DB"/>
    <w:rsid w:val="00951FEE"/>
    <w:rsid w:val="009F2E6D"/>
    <w:rsid w:val="00A86260"/>
    <w:rsid w:val="00B13069"/>
    <w:rsid w:val="00B71F65"/>
    <w:rsid w:val="00CE1BEC"/>
    <w:rsid w:val="00D80251"/>
    <w:rsid w:val="00E15234"/>
    <w:rsid w:val="00F72CA9"/>
    <w:rsid w:val="0112363F"/>
    <w:rsid w:val="01172A03"/>
    <w:rsid w:val="011B0745"/>
    <w:rsid w:val="011D2710"/>
    <w:rsid w:val="012B64AF"/>
    <w:rsid w:val="01313594"/>
    <w:rsid w:val="01390BCC"/>
    <w:rsid w:val="014337F8"/>
    <w:rsid w:val="014852B3"/>
    <w:rsid w:val="01A06E9D"/>
    <w:rsid w:val="01B82438"/>
    <w:rsid w:val="01B87994"/>
    <w:rsid w:val="01CF1530"/>
    <w:rsid w:val="01DE2443"/>
    <w:rsid w:val="01DF5C17"/>
    <w:rsid w:val="01EA636A"/>
    <w:rsid w:val="02111B48"/>
    <w:rsid w:val="02145195"/>
    <w:rsid w:val="021B4775"/>
    <w:rsid w:val="0273635F"/>
    <w:rsid w:val="027D4610"/>
    <w:rsid w:val="028C11CF"/>
    <w:rsid w:val="029F0F02"/>
    <w:rsid w:val="02A12ECC"/>
    <w:rsid w:val="02C2415D"/>
    <w:rsid w:val="02C24BF1"/>
    <w:rsid w:val="02CE3596"/>
    <w:rsid w:val="02D23086"/>
    <w:rsid w:val="02EE59E6"/>
    <w:rsid w:val="03100052"/>
    <w:rsid w:val="03554EF7"/>
    <w:rsid w:val="03577A2F"/>
    <w:rsid w:val="0361440A"/>
    <w:rsid w:val="03724869"/>
    <w:rsid w:val="03A92929"/>
    <w:rsid w:val="03AD4821"/>
    <w:rsid w:val="03D270B5"/>
    <w:rsid w:val="03DE5A5A"/>
    <w:rsid w:val="040327F1"/>
    <w:rsid w:val="04074FB1"/>
    <w:rsid w:val="040C0819"/>
    <w:rsid w:val="040F3E66"/>
    <w:rsid w:val="04206073"/>
    <w:rsid w:val="042518DB"/>
    <w:rsid w:val="042E69E2"/>
    <w:rsid w:val="04387860"/>
    <w:rsid w:val="044D0983"/>
    <w:rsid w:val="04722D72"/>
    <w:rsid w:val="049A4077"/>
    <w:rsid w:val="04A70542"/>
    <w:rsid w:val="04A722F0"/>
    <w:rsid w:val="04BD71E4"/>
    <w:rsid w:val="04DF1A8A"/>
    <w:rsid w:val="04FF3EDA"/>
    <w:rsid w:val="05444432"/>
    <w:rsid w:val="056A1C9B"/>
    <w:rsid w:val="05776166"/>
    <w:rsid w:val="05B64EE1"/>
    <w:rsid w:val="05E03D0C"/>
    <w:rsid w:val="05E27A84"/>
    <w:rsid w:val="05F72E03"/>
    <w:rsid w:val="05FD666C"/>
    <w:rsid w:val="06053772"/>
    <w:rsid w:val="06123ECA"/>
    <w:rsid w:val="062C1654"/>
    <w:rsid w:val="062E2CC9"/>
    <w:rsid w:val="06565D7C"/>
    <w:rsid w:val="065B154A"/>
    <w:rsid w:val="065F10D4"/>
    <w:rsid w:val="067D59FE"/>
    <w:rsid w:val="069D1BFD"/>
    <w:rsid w:val="069F5F72"/>
    <w:rsid w:val="06A50AB1"/>
    <w:rsid w:val="06A74829"/>
    <w:rsid w:val="06B07B82"/>
    <w:rsid w:val="06BF7DC5"/>
    <w:rsid w:val="06C54CB0"/>
    <w:rsid w:val="06EE4206"/>
    <w:rsid w:val="071874D5"/>
    <w:rsid w:val="073037F1"/>
    <w:rsid w:val="074A3B33"/>
    <w:rsid w:val="075F1676"/>
    <w:rsid w:val="076170CE"/>
    <w:rsid w:val="07697D31"/>
    <w:rsid w:val="077B0190"/>
    <w:rsid w:val="07921036"/>
    <w:rsid w:val="07966D78"/>
    <w:rsid w:val="07BF498F"/>
    <w:rsid w:val="07D45DB3"/>
    <w:rsid w:val="07DB29DD"/>
    <w:rsid w:val="07F910B5"/>
    <w:rsid w:val="07FE491D"/>
    <w:rsid w:val="08114650"/>
    <w:rsid w:val="082F0F7A"/>
    <w:rsid w:val="08362309"/>
    <w:rsid w:val="08562050"/>
    <w:rsid w:val="08730E67"/>
    <w:rsid w:val="08732C15"/>
    <w:rsid w:val="08B82D1E"/>
    <w:rsid w:val="08FE250C"/>
    <w:rsid w:val="090A09B2"/>
    <w:rsid w:val="092138C6"/>
    <w:rsid w:val="092E4D8E"/>
    <w:rsid w:val="09475E50"/>
    <w:rsid w:val="095A3DD5"/>
    <w:rsid w:val="095C18FB"/>
    <w:rsid w:val="09642C2F"/>
    <w:rsid w:val="096802A0"/>
    <w:rsid w:val="096E162E"/>
    <w:rsid w:val="09756E61"/>
    <w:rsid w:val="0978425B"/>
    <w:rsid w:val="097D6D15"/>
    <w:rsid w:val="09A256DA"/>
    <w:rsid w:val="09B01C47"/>
    <w:rsid w:val="09D04097"/>
    <w:rsid w:val="09DD04A3"/>
    <w:rsid w:val="09FB3D3B"/>
    <w:rsid w:val="0A03621B"/>
    <w:rsid w:val="0A0E7914"/>
    <w:rsid w:val="0A382368"/>
    <w:rsid w:val="0A3E36F7"/>
    <w:rsid w:val="0A4D7496"/>
    <w:rsid w:val="0A540824"/>
    <w:rsid w:val="0A594448"/>
    <w:rsid w:val="0A6F38B0"/>
    <w:rsid w:val="0A721553"/>
    <w:rsid w:val="0A726EFC"/>
    <w:rsid w:val="0AC27E84"/>
    <w:rsid w:val="0AC44356"/>
    <w:rsid w:val="0AE53B72"/>
    <w:rsid w:val="0AEB1372"/>
    <w:rsid w:val="0AFB5144"/>
    <w:rsid w:val="0B1E5913"/>
    <w:rsid w:val="0B1F5935"/>
    <w:rsid w:val="0B220922"/>
    <w:rsid w:val="0B2428ED"/>
    <w:rsid w:val="0B275F39"/>
    <w:rsid w:val="0B3643CE"/>
    <w:rsid w:val="0B570E7D"/>
    <w:rsid w:val="0B616943"/>
    <w:rsid w:val="0B7078E0"/>
    <w:rsid w:val="0B84665A"/>
    <w:rsid w:val="0B896BF3"/>
    <w:rsid w:val="0B907F82"/>
    <w:rsid w:val="0BBD42C7"/>
    <w:rsid w:val="0BCC77F4"/>
    <w:rsid w:val="0BD87233"/>
    <w:rsid w:val="0BE36304"/>
    <w:rsid w:val="0BF24799"/>
    <w:rsid w:val="0BFB189F"/>
    <w:rsid w:val="0C1110C3"/>
    <w:rsid w:val="0C175FAD"/>
    <w:rsid w:val="0C193AD3"/>
    <w:rsid w:val="0C4805B1"/>
    <w:rsid w:val="0C4F33F9"/>
    <w:rsid w:val="0C566AD6"/>
    <w:rsid w:val="0C580AA0"/>
    <w:rsid w:val="0C5C1C12"/>
    <w:rsid w:val="0C5E3BDC"/>
    <w:rsid w:val="0C6236CC"/>
    <w:rsid w:val="0C7358DA"/>
    <w:rsid w:val="0C8A49D1"/>
    <w:rsid w:val="0C957759"/>
    <w:rsid w:val="0CB41A4E"/>
    <w:rsid w:val="0CB437FC"/>
    <w:rsid w:val="0CC26E47"/>
    <w:rsid w:val="0CC46135"/>
    <w:rsid w:val="0CE71E24"/>
    <w:rsid w:val="0D244E26"/>
    <w:rsid w:val="0D444B80"/>
    <w:rsid w:val="0D861483"/>
    <w:rsid w:val="0DAB44E6"/>
    <w:rsid w:val="0DB5782C"/>
    <w:rsid w:val="0DC14423"/>
    <w:rsid w:val="0DD759F4"/>
    <w:rsid w:val="0E0E3EA8"/>
    <w:rsid w:val="0E123CD3"/>
    <w:rsid w:val="0E1529C0"/>
    <w:rsid w:val="0E19600D"/>
    <w:rsid w:val="0E2055ED"/>
    <w:rsid w:val="0E364E11"/>
    <w:rsid w:val="0E415563"/>
    <w:rsid w:val="0E6A6868"/>
    <w:rsid w:val="0E6E3152"/>
    <w:rsid w:val="0EA4458C"/>
    <w:rsid w:val="0ECE329B"/>
    <w:rsid w:val="0ED4462A"/>
    <w:rsid w:val="0EE628AF"/>
    <w:rsid w:val="0EF12AE6"/>
    <w:rsid w:val="0EF277FD"/>
    <w:rsid w:val="0EFB3EAD"/>
    <w:rsid w:val="0F182768"/>
    <w:rsid w:val="0F3B6457"/>
    <w:rsid w:val="0F3F7CF5"/>
    <w:rsid w:val="0F5056F2"/>
    <w:rsid w:val="0F582390"/>
    <w:rsid w:val="0F5D461F"/>
    <w:rsid w:val="0F655282"/>
    <w:rsid w:val="0F7F6343"/>
    <w:rsid w:val="0F8120BC"/>
    <w:rsid w:val="0F973D6E"/>
    <w:rsid w:val="0FC12B33"/>
    <w:rsid w:val="0FDF3286"/>
    <w:rsid w:val="0FDF6DE2"/>
    <w:rsid w:val="0FE4089C"/>
    <w:rsid w:val="0FF00FEF"/>
    <w:rsid w:val="0FFC3E38"/>
    <w:rsid w:val="10433815"/>
    <w:rsid w:val="104E5D16"/>
    <w:rsid w:val="1053332C"/>
    <w:rsid w:val="10633E33"/>
    <w:rsid w:val="108856CC"/>
    <w:rsid w:val="10AF1B6B"/>
    <w:rsid w:val="10F863AD"/>
    <w:rsid w:val="11203046"/>
    <w:rsid w:val="113373E5"/>
    <w:rsid w:val="1136303C"/>
    <w:rsid w:val="11444AA3"/>
    <w:rsid w:val="116B3023"/>
    <w:rsid w:val="116F020E"/>
    <w:rsid w:val="11765BB3"/>
    <w:rsid w:val="11877B8B"/>
    <w:rsid w:val="118934A9"/>
    <w:rsid w:val="11943BFC"/>
    <w:rsid w:val="11C12C43"/>
    <w:rsid w:val="11C6025A"/>
    <w:rsid w:val="11D24E50"/>
    <w:rsid w:val="11D34725"/>
    <w:rsid w:val="11F528ED"/>
    <w:rsid w:val="11F823DD"/>
    <w:rsid w:val="12274A70"/>
    <w:rsid w:val="12473819"/>
    <w:rsid w:val="125B650A"/>
    <w:rsid w:val="125E3C61"/>
    <w:rsid w:val="126857B5"/>
    <w:rsid w:val="127E0B34"/>
    <w:rsid w:val="127F48AC"/>
    <w:rsid w:val="12966FEF"/>
    <w:rsid w:val="12AC38F3"/>
    <w:rsid w:val="12AF0CEE"/>
    <w:rsid w:val="12B1393F"/>
    <w:rsid w:val="12B66520"/>
    <w:rsid w:val="12BC340B"/>
    <w:rsid w:val="12CC5D44"/>
    <w:rsid w:val="12D270D2"/>
    <w:rsid w:val="12E070F9"/>
    <w:rsid w:val="12ED01BC"/>
    <w:rsid w:val="12F83AAE"/>
    <w:rsid w:val="130F79DE"/>
    <w:rsid w:val="132C0590"/>
    <w:rsid w:val="13420CA5"/>
    <w:rsid w:val="13427DB4"/>
    <w:rsid w:val="1345792A"/>
    <w:rsid w:val="13545D39"/>
    <w:rsid w:val="13992BA5"/>
    <w:rsid w:val="139F6FB4"/>
    <w:rsid w:val="13A02FC9"/>
    <w:rsid w:val="13B50586"/>
    <w:rsid w:val="13C50F53"/>
    <w:rsid w:val="13CC58CF"/>
    <w:rsid w:val="13E620B2"/>
    <w:rsid w:val="13F84916"/>
    <w:rsid w:val="14054025"/>
    <w:rsid w:val="140B63F8"/>
    <w:rsid w:val="141C6857"/>
    <w:rsid w:val="14333BA0"/>
    <w:rsid w:val="14524026"/>
    <w:rsid w:val="14551D69"/>
    <w:rsid w:val="14575AE1"/>
    <w:rsid w:val="14605DBB"/>
    <w:rsid w:val="146A5814"/>
    <w:rsid w:val="148A7C64"/>
    <w:rsid w:val="14A2292A"/>
    <w:rsid w:val="14C8078D"/>
    <w:rsid w:val="14C86476"/>
    <w:rsid w:val="15040B10"/>
    <w:rsid w:val="15063063"/>
    <w:rsid w:val="15122BA8"/>
    <w:rsid w:val="15190FE8"/>
    <w:rsid w:val="15213C3F"/>
    <w:rsid w:val="1534197E"/>
    <w:rsid w:val="15761F97"/>
    <w:rsid w:val="15832DE6"/>
    <w:rsid w:val="15877D00"/>
    <w:rsid w:val="15AC7766"/>
    <w:rsid w:val="15C40F54"/>
    <w:rsid w:val="15E50ECA"/>
    <w:rsid w:val="15E6711C"/>
    <w:rsid w:val="15E74C42"/>
    <w:rsid w:val="15E761CA"/>
    <w:rsid w:val="15EA64E1"/>
    <w:rsid w:val="15F5110D"/>
    <w:rsid w:val="16157A01"/>
    <w:rsid w:val="163D2AB4"/>
    <w:rsid w:val="16573B76"/>
    <w:rsid w:val="165A5414"/>
    <w:rsid w:val="165D6CB3"/>
    <w:rsid w:val="16C37275"/>
    <w:rsid w:val="17005FBC"/>
    <w:rsid w:val="170748C7"/>
    <w:rsid w:val="1720040C"/>
    <w:rsid w:val="173026EF"/>
    <w:rsid w:val="176D73C9"/>
    <w:rsid w:val="177B1AE6"/>
    <w:rsid w:val="17B350B9"/>
    <w:rsid w:val="17BF5EF1"/>
    <w:rsid w:val="17C70888"/>
    <w:rsid w:val="18003D99"/>
    <w:rsid w:val="18274CF9"/>
    <w:rsid w:val="183103F7"/>
    <w:rsid w:val="184719C8"/>
    <w:rsid w:val="18560AD3"/>
    <w:rsid w:val="187A5D59"/>
    <w:rsid w:val="187F1162"/>
    <w:rsid w:val="18811059"/>
    <w:rsid w:val="18822A00"/>
    <w:rsid w:val="1888270D"/>
    <w:rsid w:val="188B3FAB"/>
    <w:rsid w:val="188B7B07"/>
    <w:rsid w:val="189912C4"/>
    <w:rsid w:val="18BE612E"/>
    <w:rsid w:val="18D86AC4"/>
    <w:rsid w:val="18DF3279"/>
    <w:rsid w:val="18EF453A"/>
    <w:rsid w:val="18F2402A"/>
    <w:rsid w:val="18F27CF6"/>
    <w:rsid w:val="19291FAC"/>
    <w:rsid w:val="19393A07"/>
    <w:rsid w:val="193F08F1"/>
    <w:rsid w:val="19410B0E"/>
    <w:rsid w:val="19502AFF"/>
    <w:rsid w:val="19502CE2"/>
    <w:rsid w:val="1977452F"/>
    <w:rsid w:val="19892BFF"/>
    <w:rsid w:val="19D21766"/>
    <w:rsid w:val="19DF45AE"/>
    <w:rsid w:val="19EF40C6"/>
    <w:rsid w:val="1A004525"/>
    <w:rsid w:val="1A330456"/>
    <w:rsid w:val="1A361CF4"/>
    <w:rsid w:val="1A3B37AF"/>
    <w:rsid w:val="1A491A28"/>
    <w:rsid w:val="1A646862"/>
    <w:rsid w:val="1A693E78"/>
    <w:rsid w:val="1A734CF7"/>
    <w:rsid w:val="1A824F3A"/>
    <w:rsid w:val="1A951111"/>
    <w:rsid w:val="1AAB623F"/>
    <w:rsid w:val="1ACE4623"/>
    <w:rsid w:val="1AE96D67"/>
    <w:rsid w:val="1B076CE7"/>
    <w:rsid w:val="1B5846EF"/>
    <w:rsid w:val="1B617245"/>
    <w:rsid w:val="1B662AAD"/>
    <w:rsid w:val="1B6C00C4"/>
    <w:rsid w:val="1B75356E"/>
    <w:rsid w:val="1B8151F1"/>
    <w:rsid w:val="1B9211AC"/>
    <w:rsid w:val="1BA50EE0"/>
    <w:rsid w:val="1BAA0105"/>
    <w:rsid w:val="1BBB6955"/>
    <w:rsid w:val="1C1B3898"/>
    <w:rsid w:val="1C2C33AF"/>
    <w:rsid w:val="1C4F709D"/>
    <w:rsid w:val="1C5F19D6"/>
    <w:rsid w:val="1C6B037B"/>
    <w:rsid w:val="1C7B7E93"/>
    <w:rsid w:val="1C7F7983"/>
    <w:rsid w:val="1C8256C5"/>
    <w:rsid w:val="1C940F54"/>
    <w:rsid w:val="1C986C96"/>
    <w:rsid w:val="1CAC2742"/>
    <w:rsid w:val="1CAF6F51"/>
    <w:rsid w:val="1CE26164"/>
    <w:rsid w:val="1D120041"/>
    <w:rsid w:val="1D17405F"/>
    <w:rsid w:val="1D175E0D"/>
    <w:rsid w:val="1D2D5631"/>
    <w:rsid w:val="1D507571"/>
    <w:rsid w:val="1D5232E9"/>
    <w:rsid w:val="1D5E1C8E"/>
    <w:rsid w:val="1D6F5C49"/>
    <w:rsid w:val="1D81597C"/>
    <w:rsid w:val="1D864D41"/>
    <w:rsid w:val="1DA90D3F"/>
    <w:rsid w:val="1DB573D4"/>
    <w:rsid w:val="1DB6758F"/>
    <w:rsid w:val="1DC00253"/>
    <w:rsid w:val="1DCD471E"/>
    <w:rsid w:val="1DD737EE"/>
    <w:rsid w:val="1DF11020"/>
    <w:rsid w:val="1DF919B7"/>
    <w:rsid w:val="1DF95513"/>
    <w:rsid w:val="1E0A5972"/>
    <w:rsid w:val="1E0F431A"/>
    <w:rsid w:val="1E114F52"/>
    <w:rsid w:val="1E3429EF"/>
    <w:rsid w:val="1E4523D8"/>
    <w:rsid w:val="1E7B23CC"/>
    <w:rsid w:val="1E9B481C"/>
    <w:rsid w:val="1E9E60BA"/>
    <w:rsid w:val="1EA90CE7"/>
    <w:rsid w:val="1EAC6A29"/>
    <w:rsid w:val="1ED16490"/>
    <w:rsid w:val="1F354C71"/>
    <w:rsid w:val="1F372797"/>
    <w:rsid w:val="1F43738D"/>
    <w:rsid w:val="1F4E188E"/>
    <w:rsid w:val="1F537BAB"/>
    <w:rsid w:val="1F576995"/>
    <w:rsid w:val="1F5E41C7"/>
    <w:rsid w:val="1F6E3CDF"/>
    <w:rsid w:val="1F971487"/>
    <w:rsid w:val="1FAD2A59"/>
    <w:rsid w:val="1FC16504"/>
    <w:rsid w:val="1FD76238"/>
    <w:rsid w:val="1FE10954"/>
    <w:rsid w:val="1FED554B"/>
    <w:rsid w:val="200701AF"/>
    <w:rsid w:val="20084133"/>
    <w:rsid w:val="201B5C14"/>
    <w:rsid w:val="20256A93"/>
    <w:rsid w:val="202820DF"/>
    <w:rsid w:val="20360CA0"/>
    <w:rsid w:val="20362A4E"/>
    <w:rsid w:val="203647FC"/>
    <w:rsid w:val="203767C6"/>
    <w:rsid w:val="203B62B7"/>
    <w:rsid w:val="206A26F8"/>
    <w:rsid w:val="208A54D1"/>
    <w:rsid w:val="208E1716"/>
    <w:rsid w:val="20971013"/>
    <w:rsid w:val="20A53730"/>
    <w:rsid w:val="20A57BD4"/>
    <w:rsid w:val="20B56069"/>
    <w:rsid w:val="20D44A5E"/>
    <w:rsid w:val="20F9026B"/>
    <w:rsid w:val="21020B82"/>
    <w:rsid w:val="2126068F"/>
    <w:rsid w:val="212E3725"/>
    <w:rsid w:val="21333432"/>
    <w:rsid w:val="21556F04"/>
    <w:rsid w:val="217355DC"/>
    <w:rsid w:val="21881D3A"/>
    <w:rsid w:val="21C916A0"/>
    <w:rsid w:val="21D50045"/>
    <w:rsid w:val="21D7200F"/>
    <w:rsid w:val="21DD6EFA"/>
    <w:rsid w:val="21E604A4"/>
    <w:rsid w:val="220426D8"/>
    <w:rsid w:val="22280ABD"/>
    <w:rsid w:val="222934DF"/>
    <w:rsid w:val="22317971"/>
    <w:rsid w:val="22715FC0"/>
    <w:rsid w:val="22743D02"/>
    <w:rsid w:val="227B259F"/>
    <w:rsid w:val="227E248B"/>
    <w:rsid w:val="228C2DF9"/>
    <w:rsid w:val="22E542B8"/>
    <w:rsid w:val="22F91898"/>
    <w:rsid w:val="22F97D63"/>
    <w:rsid w:val="22FD6329"/>
    <w:rsid w:val="22FF35CB"/>
    <w:rsid w:val="2305495A"/>
    <w:rsid w:val="232474D6"/>
    <w:rsid w:val="23360FB7"/>
    <w:rsid w:val="235356C5"/>
    <w:rsid w:val="235F050E"/>
    <w:rsid w:val="23BC14BC"/>
    <w:rsid w:val="23BD5235"/>
    <w:rsid w:val="23DA1943"/>
    <w:rsid w:val="23DC56BB"/>
    <w:rsid w:val="23DE2A2C"/>
    <w:rsid w:val="23E66539"/>
    <w:rsid w:val="23E80503"/>
    <w:rsid w:val="23ED1E01"/>
    <w:rsid w:val="23EF1892"/>
    <w:rsid w:val="23FF13A9"/>
    <w:rsid w:val="240030C6"/>
    <w:rsid w:val="24150BCD"/>
    <w:rsid w:val="243F74B6"/>
    <w:rsid w:val="24446E7D"/>
    <w:rsid w:val="246833F2"/>
    <w:rsid w:val="24715184"/>
    <w:rsid w:val="248317DC"/>
    <w:rsid w:val="24D10F97"/>
    <w:rsid w:val="24D9609E"/>
    <w:rsid w:val="24E231A5"/>
    <w:rsid w:val="250C0E3D"/>
    <w:rsid w:val="251F3D1D"/>
    <w:rsid w:val="252A68FA"/>
    <w:rsid w:val="25423C43"/>
    <w:rsid w:val="2547125A"/>
    <w:rsid w:val="256242E5"/>
    <w:rsid w:val="257162D7"/>
    <w:rsid w:val="25B95C0C"/>
    <w:rsid w:val="25E42F4C"/>
    <w:rsid w:val="25F121BB"/>
    <w:rsid w:val="2604714B"/>
    <w:rsid w:val="2629095F"/>
    <w:rsid w:val="26306192"/>
    <w:rsid w:val="26415CA9"/>
    <w:rsid w:val="26467763"/>
    <w:rsid w:val="265359DC"/>
    <w:rsid w:val="265A4FBD"/>
    <w:rsid w:val="266A54DF"/>
    <w:rsid w:val="2677791D"/>
    <w:rsid w:val="26887D7C"/>
    <w:rsid w:val="26971D6D"/>
    <w:rsid w:val="26977FBF"/>
    <w:rsid w:val="26A34BB6"/>
    <w:rsid w:val="26A76454"/>
    <w:rsid w:val="26AB75C6"/>
    <w:rsid w:val="26AF355A"/>
    <w:rsid w:val="26B446CD"/>
    <w:rsid w:val="26E256DE"/>
    <w:rsid w:val="26FB2FAF"/>
    <w:rsid w:val="27007912"/>
    <w:rsid w:val="27127645"/>
    <w:rsid w:val="27160EE4"/>
    <w:rsid w:val="272C4BAB"/>
    <w:rsid w:val="27321A96"/>
    <w:rsid w:val="2742617D"/>
    <w:rsid w:val="27533EE6"/>
    <w:rsid w:val="276E51C4"/>
    <w:rsid w:val="277038E5"/>
    <w:rsid w:val="277D5407"/>
    <w:rsid w:val="27960276"/>
    <w:rsid w:val="27CB43C4"/>
    <w:rsid w:val="27CE7A10"/>
    <w:rsid w:val="27E01EA7"/>
    <w:rsid w:val="27E2170E"/>
    <w:rsid w:val="27FC27CF"/>
    <w:rsid w:val="28175C01"/>
    <w:rsid w:val="282D0BDB"/>
    <w:rsid w:val="28305FD5"/>
    <w:rsid w:val="283261F1"/>
    <w:rsid w:val="283F26BC"/>
    <w:rsid w:val="286363AA"/>
    <w:rsid w:val="28667C49"/>
    <w:rsid w:val="28956124"/>
    <w:rsid w:val="289724F8"/>
    <w:rsid w:val="289C18BC"/>
    <w:rsid w:val="28AF339E"/>
    <w:rsid w:val="28B135BA"/>
    <w:rsid w:val="28C36E49"/>
    <w:rsid w:val="28EB10B1"/>
    <w:rsid w:val="28F2772E"/>
    <w:rsid w:val="28F278BB"/>
    <w:rsid w:val="29310257"/>
    <w:rsid w:val="29347D47"/>
    <w:rsid w:val="294A30C6"/>
    <w:rsid w:val="295959FF"/>
    <w:rsid w:val="296C128F"/>
    <w:rsid w:val="296D0E96"/>
    <w:rsid w:val="297A02F3"/>
    <w:rsid w:val="29824F56"/>
    <w:rsid w:val="298E79EF"/>
    <w:rsid w:val="29995DFC"/>
    <w:rsid w:val="299B7DC6"/>
    <w:rsid w:val="29CC7F7F"/>
    <w:rsid w:val="29DF31FC"/>
    <w:rsid w:val="2A093A87"/>
    <w:rsid w:val="2A1101D5"/>
    <w:rsid w:val="2A222295"/>
    <w:rsid w:val="2A570191"/>
    <w:rsid w:val="2A5B1D1A"/>
    <w:rsid w:val="2A8940C2"/>
    <w:rsid w:val="2A9767DF"/>
    <w:rsid w:val="2AD0584D"/>
    <w:rsid w:val="2AE15BDD"/>
    <w:rsid w:val="2AE33DBE"/>
    <w:rsid w:val="2B05199B"/>
    <w:rsid w:val="2B4C6730"/>
    <w:rsid w:val="2B807273"/>
    <w:rsid w:val="2B9D6077"/>
    <w:rsid w:val="2BFD08C4"/>
    <w:rsid w:val="2C0F6084"/>
    <w:rsid w:val="2C216675"/>
    <w:rsid w:val="2C29790B"/>
    <w:rsid w:val="2C2E3173"/>
    <w:rsid w:val="2C3C763E"/>
    <w:rsid w:val="2C42277B"/>
    <w:rsid w:val="2C4D39D2"/>
    <w:rsid w:val="2C7548FE"/>
    <w:rsid w:val="2C7C3EDF"/>
    <w:rsid w:val="2C842D93"/>
    <w:rsid w:val="2C98683F"/>
    <w:rsid w:val="2C9C067B"/>
    <w:rsid w:val="2CA376BD"/>
    <w:rsid w:val="2CB01DDA"/>
    <w:rsid w:val="2CB27900"/>
    <w:rsid w:val="2CD07D87"/>
    <w:rsid w:val="2CD47877"/>
    <w:rsid w:val="2CEA21F5"/>
    <w:rsid w:val="2D144117"/>
    <w:rsid w:val="2D1C7470"/>
    <w:rsid w:val="2D3C0C59"/>
    <w:rsid w:val="2D485B6F"/>
    <w:rsid w:val="2D542766"/>
    <w:rsid w:val="2D60110A"/>
    <w:rsid w:val="2D866DED"/>
    <w:rsid w:val="2E112405"/>
    <w:rsid w:val="2E385BE3"/>
    <w:rsid w:val="2E454CF5"/>
    <w:rsid w:val="2E786928"/>
    <w:rsid w:val="2E954DE4"/>
    <w:rsid w:val="2E9A5A84"/>
    <w:rsid w:val="2EB734D7"/>
    <w:rsid w:val="2EBA6F40"/>
    <w:rsid w:val="2EBE07DF"/>
    <w:rsid w:val="2ECF17F6"/>
    <w:rsid w:val="2ED00512"/>
    <w:rsid w:val="2EEB0EA8"/>
    <w:rsid w:val="2EEE2746"/>
    <w:rsid w:val="2F1523C9"/>
    <w:rsid w:val="2F266384"/>
    <w:rsid w:val="2F2A7C22"/>
    <w:rsid w:val="2F2B74F6"/>
    <w:rsid w:val="2F61116A"/>
    <w:rsid w:val="2F9C6646"/>
    <w:rsid w:val="2FAF45CB"/>
    <w:rsid w:val="2FC11C09"/>
    <w:rsid w:val="2FC516F9"/>
    <w:rsid w:val="2FC72C80"/>
    <w:rsid w:val="2FCA31B3"/>
    <w:rsid w:val="2FCD67FF"/>
    <w:rsid w:val="2FD933F6"/>
    <w:rsid w:val="2FEA73B1"/>
    <w:rsid w:val="30004E27"/>
    <w:rsid w:val="301D7787"/>
    <w:rsid w:val="30377258"/>
    <w:rsid w:val="30450A8C"/>
    <w:rsid w:val="30B33459"/>
    <w:rsid w:val="30B5176D"/>
    <w:rsid w:val="30C47C02"/>
    <w:rsid w:val="30FF50DE"/>
    <w:rsid w:val="3101369B"/>
    <w:rsid w:val="3115220C"/>
    <w:rsid w:val="311C17EC"/>
    <w:rsid w:val="311E5564"/>
    <w:rsid w:val="31442AF1"/>
    <w:rsid w:val="314B489E"/>
    <w:rsid w:val="31B7224A"/>
    <w:rsid w:val="31C12394"/>
    <w:rsid w:val="31D9592F"/>
    <w:rsid w:val="31E247E4"/>
    <w:rsid w:val="31E549ED"/>
    <w:rsid w:val="31FE5396"/>
    <w:rsid w:val="320619C8"/>
    <w:rsid w:val="320F4EAD"/>
    <w:rsid w:val="32186458"/>
    <w:rsid w:val="323B3EF4"/>
    <w:rsid w:val="325D3E6B"/>
    <w:rsid w:val="325D4D96"/>
    <w:rsid w:val="32715B68"/>
    <w:rsid w:val="327A0EC0"/>
    <w:rsid w:val="327E5810"/>
    <w:rsid w:val="329B0E37"/>
    <w:rsid w:val="32AC094E"/>
    <w:rsid w:val="32B12B1E"/>
    <w:rsid w:val="32BF2082"/>
    <w:rsid w:val="32C51A10"/>
    <w:rsid w:val="32C75C1A"/>
    <w:rsid w:val="32CB5092"/>
    <w:rsid w:val="32E73977"/>
    <w:rsid w:val="32F81DE5"/>
    <w:rsid w:val="32FC7B27"/>
    <w:rsid w:val="32FF4F22"/>
    <w:rsid w:val="33092244"/>
    <w:rsid w:val="330B38C7"/>
    <w:rsid w:val="334E5EA9"/>
    <w:rsid w:val="3353526D"/>
    <w:rsid w:val="3355548A"/>
    <w:rsid w:val="335F3C12"/>
    <w:rsid w:val="33770F5C"/>
    <w:rsid w:val="3394003E"/>
    <w:rsid w:val="33A06705"/>
    <w:rsid w:val="33AD2BD0"/>
    <w:rsid w:val="33B16619"/>
    <w:rsid w:val="33BA0CEA"/>
    <w:rsid w:val="33C57F19"/>
    <w:rsid w:val="33CF0D98"/>
    <w:rsid w:val="33CF4E40"/>
    <w:rsid w:val="33D068BE"/>
    <w:rsid w:val="33DB773D"/>
    <w:rsid w:val="33F46A50"/>
    <w:rsid w:val="34026A2A"/>
    <w:rsid w:val="3410327F"/>
    <w:rsid w:val="344A2619"/>
    <w:rsid w:val="346D235F"/>
    <w:rsid w:val="34871673"/>
    <w:rsid w:val="349624E3"/>
    <w:rsid w:val="349A13A6"/>
    <w:rsid w:val="34AE6BFF"/>
    <w:rsid w:val="34D0301A"/>
    <w:rsid w:val="34EA0618"/>
    <w:rsid w:val="34F30AB6"/>
    <w:rsid w:val="35092088"/>
    <w:rsid w:val="352B64A2"/>
    <w:rsid w:val="35377A73"/>
    <w:rsid w:val="354632DC"/>
    <w:rsid w:val="354D669C"/>
    <w:rsid w:val="355C48AD"/>
    <w:rsid w:val="35673B29"/>
    <w:rsid w:val="3589141A"/>
    <w:rsid w:val="3599165E"/>
    <w:rsid w:val="359D7E49"/>
    <w:rsid w:val="35B00755"/>
    <w:rsid w:val="35C30488"/>
    <w:rsid w:val="35D4661D"/>
    <w:rsid w:val="35D46B3A"/>
    <w:rsid w:val="35E52AF5"/>
    <w:rsid w:val="35E57F90"/>
    <w:rsid w:val="36034D29"/>
    <w:rsid w:val="361C45F6"/>
    <w:rsid w:val="364A2958"/>
    <w:rsid w:val="36533F02"/>
    <w:rsid w:val="36624145"/>
    <w:rsid w:val="3667350A"/>
    <w:rsid w:val="367E0853"/>
    <w:rsid w:val="36AF3103"/>
    <w:rsid w:val="36C22E36"/>
    <w:rsid w:val="36C66783"/>
    <w:rsid w:val="37023232"/>
    <w:rsid w:val="374455F9"/>
    <w:rsid w:val="37503F9E"/>
    <w:rsid w:val="376C4B50"/>
    <w:rsid w:val="377F2AD5"/>
    <w:rsid w:val="3799682A"/>
    <w:rsid w:val="37A20571"/>
    <w:rsid w:val="37CE75B8"/>
    <w:rsid w:val="37DC0CC4"/>
    <w:rsid w:val="37DC3A83"/>
    <w:rsid w:val="37F039D3"/>
    <w:rsid w:val="37F214F9"/>
    <w:rsid w:val="37F8583A"/>
    <w:rsid w:val="380B25BB"/>
    <w:rsid w:val="382F0057"/>
    <w:rsid w:val="384B29B7"/>
    <w:rsid w:val="38651CCB"/>
    <w:rsid w:val="386677F1"/>
    <w:rsid w:val="38683569"/>
    <w:rsid w:val="388211B0"/>
    <w:rsid w:val="38855EC9"/>
    <w:rsid w:val="38871C41"/>
    <w:rsid w:val="389B749B"/>
    <w:rsid w:val="38C42E95"/>
    <w:rsid w:val="390B0AC4"/>
    <w:rsid w:val="39276F80"/>
    <w:rsid w:val="39382F3B"/>
    <w:rsid w:val="39A24859"/>
    <w:rsid w:val="39A9208B"/>
    <w:rsid w:val="39AD3929"/>
    <w:rsid w:val="39BF540B"/>
    <w:rsid w:val="39CB0253"/>
    <w:rsid w:val="39D5032C"/>
    <w:rsid w:val="39E92488"/>
    <w:rsid w:val="39EB26A4"/>
    <w:rsid w:val="3A1C460B"/>
    <w:rsid w:val="3A1F234D"/>
    <w:rsid w:val="3A23599A"/>
    <w:rsid w:val="3A322EC1"/>
    <w:rsid w:val="3A5925EE"/>
    <w:rsid w:val="3A7E3875"/>
    <w:rsid w:val="3A8521B0"/>
    <w:rsid w:val="3A8F302F"/>
    <w:rsid w:val="3AC802EF"/>
    <w:rsid w:val="3AE8273F"/>
    <w:rsid w:val="3AFA5EF5"/>
    <w:rsid w:val="3AFB06C4"/>
    <w:rsid w:val="3B005CDB"/>
    <w:rsid w:val="3B041B4F"/>
    <w:rsid w:val="3B3843A5"/>
    <w:rsid w:val="3B844B5E"/>
    <w:rsid w:val="3B893F22"/>
    <w:rsid w:val="3B9F72A2"/>
    <w:rsid w:val="3BAA5C47"/>
    <w:rsid w:val="3BC11EEC"/>
    <w:rsid w:val="3BE54829"/>
    <w:rsid w:val="3C0435A9"/>
    <w:rsid w:val="3C1A7270"/>
    <w:rsid w:val="3C1F4887"/>
    <w:rsid w:val="3C360EA3"/>
    <w:rsid w:val="3C4D6CFE"/>
    <w:rsid w:val="3C543C42"/>
    <w:rsid w:val="3C5E791A"/>
    <w:rsid w:val="3CCA47F2"/>
    <w:rsid w:val="3CCF3BB7"/>
    <w:rsid w:val="3CD218F9"/>
    <w:rsid w:val="3CE5162C"/>
    <w:rsid w:val="3CF950D8"/>
    <w:rsid w:val="3CFE624A"/>
    <w:rsid w:val="3D197528"/>
    <w:rsid w:val="3D204412"/>
    <w:rsid w:val="3D792B22"/>
    <w:rsid w:val="3D8E5820"/>
    <w:rsid w:val="3D8E75CE"/>
    <w:rsid w:val="3D934BE4"/>
    <w:rsid w:val="3D9D3CB5"/>
    <w:rsid w:val="3DA54918"/>
    <w:rsid w:val="3DC94AAA"/>
    <w:rsid w:val="3DCC6348"/>
    <w:rsid w:val="3DD07BE6"/>
    <w:rsid w:val="3DD93CA2"/>
    <w:rsid w:val="3DDA2813"/>
    <w:rsid w:val="3DDA6CB7"/>
    <w:rsid w:val="3DE43692"/>
    <w:rsid w:val="3E2E7003"/>
    <w:rsid w:val="3E411EA7"/>
    <w:rsid w:val="3E5C147A"/>
    <w:rsid w:val="3E8037B6"/>
    <w:rsid w:val="3E8409D1"/>
    <w:rsid w:val="3E9230EE"/>
    <w:rsid w:val="3EC60FE9"/>
    <w:rsid w:val="3EC86B10"/>
    <w:rsid w:val="3EEF6792"/>
    <w:rsid w:val="3EF47905"/>
    <w:rsid w:val="3EFE69D5"/>
    <w:rsid w:val="3F087854"/>
    <w:rsid w:val="3F3142F6"/>
    <w:rsid w:val="3F5E6AF3"/>
    <w:rsid w:val="3F966C0E"/>
    <w:rsid w:val="3FBD419A"/>
    <w:rsid w:val="3FC45529"/>
    <w:rsid w:val="3FD37E62"/>
    <w:rsid w:val="3FD61700"/>
    <w:rsid w:val="3FF73B50"/>
    <w:rsid w:val="400E6562"/>
    <w:rsid w:val="401A15ED"/>
    <w:rsid w:val="402416BC"/>
    <w:rsid w:val="402E0FC4"/>
    <w:rsid w:val="40402E3B"/>
    <w:rsid w:val="40512B35"/>
    <w:rsid w:val="406D5BC1"/>
    <w:rsid w:val="40794422"/>
    <w:rsid w:val="407F76A2"/>
    <w:rsid w:val="40A548E7"/>
    <w:rsid w:val="40BE466E"/>
    <w:rsid w:val="41265D6F"/>
    <w:rsid w:val="41314E40"/>
    <w:rsid w:val="414B0DF4"/>
    <w:rsid w:val="414F52C6"/>
    <w:rsid w:val="41597EF3"/>
    <w:rsid w:val="41764F49"/>
    <w:rsid w:val="41801923"/>
    <w:rsid w:val="41B617E9"/>
    <w:rsid w:val="41B94E35"/>
    <w:rsid w:val="41CF6407"/>
    <w:rsid w:val="41D35EF7"/>
    <w:rsid w:val="41F92E32"/>
    <w:rsid w:val="421B33FA"/>
    <w:rsid w:val="42266472"/>
    <w:rsid w:val="42332E3A"/>
    <w:rsid w:val="426C1EA8"/>
    <w:rsid w:val="42733236"/>
    <w:rsid w:val="4295746D"/>
    <w:rsid w:val="42BC4BDD"/>
    <w:rsid w:val="42DC527F"/>
    <w:rsid w:val="42E4753B"/>
    <w:rsid w:val="42F9198D"/>
    <w:rsid w:val="43095949"/>
    <w:rsid w:val="43754D8C"/>
    <w:rsid w:val="43827BD5"/>
    <w:rsid w:val="439E0787"/>
    <w:rsid w:val="43B9111D"/>
    <w:rsid w:val="43B9736F"/>
    <w:rsid w:val="43BA75E6"/>
    <w:rsid w:val="43C0540E"/>
    <w:rsid w:val="43C84F50"/>
    <w:rsid w:val="43CD6976"/>
    <w:rsid w:val="43E837B0"/>
    <w:rsid w:val="43EB41E2"/>
    <w:rsid w:val="44071E88"/>
    <w:rsid w:val="44143923"/>
    <w:rsid w:val="442567B2"/>
    <w:rsid w:val="442742D8"/>
    <w:rsid w:val="442C18EF"/>
    <w:rsid w:val="442E38B9"/>
    <w:rsid w:val="44323D41"/>
    <w:rsid w:val="443864E5"/>
    <w:rsid w:val="44531571"/>
    <w:rsid w:val="4464552C"/>
    <w:rsid w:val="4476700E"/>
    <w:rsid w:val="447B3F61"/>
    <w:rsid w:val="448636F5"/>
    <w:rsid w:val="44E16B7D"/>
    <w:rsid w:val="44FF34A7"/>
    <w:rsid w:val="45034D69"/>
    <w:rsid w:val="4528655A"/>
    <w:rsid w:val="45342E44"/>
    <w:rsid w:val="453C2005"/>
    <w:rsid w:val="45605CF4"/>
    <w:rsid w:val="4565330A"/>
    <w:rsid w:val="458F65D9"/>
    <w:rsid w:val="45986F93"/>
    <w:rsid w:val="45DD7344"/>
    <w:rsid w:val="45DE1D3D"/>
    <w:rsid w:val="45F428E0"/>
    <w:rsid w:val="46001285"/>
    <w:rsid w:val="4605689B"/>
    <w:rsid w:val="460F45DC"/>
    <w:rsid w:val="46256046"/>
    <w:rsid w:val="46324165"/>
    <w:rsid w:val="464C0026"/>
    <w:rsid w:val="464C44CA"/>
    <w:rsid w:val="465515D1"/>
    <w:rsid w:val="4670640B"/>
    <w:rsid w:val="4676111D"/>
    <w:rsid w:val="468679DC"/>
    <w:rsid w:val="46963997"/>
    <w:rsid w:val="46A71700"/>
    <w:rsid w:val="46B14699"/>
    <w:rsid w:val="46B502C1"/>
    <w:rsid w:val="46BE4CF2"/>
    <w:rsid w:val="46CF2F55"/>
    <w:rsid w:val="46F56910"/>
    <w:rsid w:val="47086643"/>
    <w:rsid w:val="47240FA3"/>
    <w:rsid w:val="474156B1"/>
    <w:rsid w:val="47501D98"/>
    <w:rsid w:val="47613FA5"/>
    <w:rsid w:val="476A2E5A"/>
    <w:rsid w:val="476C76E5"/>
    <w:rsid w:val="476F0470"/>
    <w:rsid w:val="477C493B"/>
    <w:rsid w:val="478832E0"/>
    <w:rsid w:val="479D6736"/>
    <w:rsid w:val="47A04ACD"/>
    <w:rsid w:val="47C00CCC"/>
    <w:rsid w:val="47C167F2"/>
    <w:rsid w:val="47CD33E9"/>
    <w:rsid w:val="47E86474"/>
    <w:rsid w:val="48223734"/>
    <w:rsid w:val="4828061F"/>
    <w:rsid w:val="483416BA"/>
    <w:rsid w:val="483B2A48"/>
    <w:rsid w:val="48537D92"/>
    <w:rsid w:val="48645AFB"/>
    <w:rsid w:val="486A5733"/>
    <w:rsid w:val="486F4309"/>
    <w:rsid w:val="488066AD"/>
    <w:rsid w:val="488E2B78"/>
    <w:rsid w:val="489839F7"/>
    <w:rsid w:val="48B84099"/>
    <w:rsid w:val="48E56510"/>
    <w:rsid w:val="48FF75D2"/>
    <w:rsid w:val="493E02D4"/>
    <w:rsid w:val="4989333F"/>
    <w:rsid w:val="499248EA"/>
    <w:rsid w:val="499916FA"/>
    <w:rsid w:val="49A10689"/>
    <w:rsid w:val="49C10D2B"/>
    <w:rsid w:val="49CF3448"/>
    <w:rsid w:val="49DA3B9B"/>
    <w:rsid w:val="49E3107C"/>
    <w:rsid w:val="49EF7646"/>
    <w:rsid w:val="49FE1F7F"/>
    <w:rsid w:val="4A881849"/>
    <w:rsid w:val="4AA246B9"/>
    <w:rsid w:val="4AB97C54"/>
    <w:rsid w:val="4ABD14F2"/>
    <w:rsid w:val="4ACB00B3"/>
    <w:rsid w:val="4AD36DE7"/>
    <w:rsid w:val="4ADF76BB"/>
    <w:rsid w:val="4B096DC6"/>
    <w:rsid w:val="4B2772B4"/>
    <w:rsid w:val="4B490FD8"/>
    <w:rsid w:val="4B5A31E5"/>
    <w:rsid w:val="4B663938"/>
    <w:rsid w:val="4B6B53F2"/>
    <w:rsid w:val="4B700C5B"/>
    <w:rsid w:val="4B906C07"/>
    <w:rsid w:val="4BC52D55"/>
    <w:rsid w:val="4BCF3BD3"/>
    <w:rsid w:val="4BDE5BC4"/>
    <w:rsid w:val="4BEA1DCD"/>
    <w:rsid w:val="4BF47196"/>
    <w:rsid w:val="4BFE0015"/>
    <w:rsid w:val="4C177328"/>
    <w:rsid w:val="4C1B2975"/>
    <w:rsid w:val="4C417F01"/>
    <w:rsid w:val="4C52210E"/>
    <w:rsid w:val="4C675BBA"/>
    <w:rsid w:val="4C9D5A7F"/>
    <w:rsid w:val="4CAE1A3B"/>
    <w:rsid w:val="4CBD3A2C"/>
    <w:rsid w:val="4CBE1552"/>
    <w:rsid w:val="4CCA439B"/>
    <w:rsid w:val="4CD15729"/>
    <w:rsid w:val="4CF80F08"/>
    <w:rsid w:val="4D094EC3"/>
    <w:rsid w:val="4D0F7FFF"/>
    <w:rsid w:val="4D113D78"/>
    <w:rsid w:val="4D275349"/>
    <w:rsid w:val="4D2B4E39"/>
    <w:rsid w:val="4D302450"/>
    <w:rsid w:val="4D387556"/>
    <w:rsid w:val="4D427751"/>
    <w:rsid w:val="4D4B54DB"/>
    <w:rsid w:val="4D4E6D7A"/>
    <w:rsid w:val="4D6724E2"/>
    <w:rsid w:val="4D7D31BB"/>
    <w:rsid w:val="4D9329DF"/>
    <w:rsid w:val="4D956757"/>
    <w:rsid w:val="4DB34E2F"/>
    <w:rsid w:val="4DDF5C24"/>
    <w:rsid w:val="4DF55447"/>
    <w:rsid w:val="4DFA480C"/>
    <w:rsid w:val="4E165AE9"/>
    <w:rsid w:val="4E2224C7"/>
    <w:rsid w:val="4E2A3474"/>
    <w:rsid w:val="4E3221F7"/>
    <w:rsid w:val="4E3C3076"/>
    <w:rsid w:val="4E555EE6"/>
    <w:rsid w:val="4E5B34FC"/>
    <w:rsid w:val="4E6D3230"/>
    <w:rsid w:val="4E832A53"/>
    <w:rsid w:val="4E881E17"/>
    <w:rsid w:val="4E8F2834"/>
    <w:rsid w:val="4E8F31A6"/>
    <w:rsid w:val="4E9D6FC8"/>
    <w:rsid w:val="4ED11A10"/>
    <w:rsid w:val="4ED60DD5"/>
    <w:rsid w:val="4EDB288F"/>
    <w:rsid w:val="4EF23735"/>
    <w:rsid w:val="4F1418FD"/>
    <w:rsid w:val="4F175C36"/>
    <w:rsid w:val="4F1B712F"/>
    <w:rsid w:val="4F1F09CE"/>
    <w:rsid w:val="4F45115F"/>
    <w:rsid w:val="4F4F0B87"/>
    <w:rsid w:val="4F642884"/>
    <w:rsid w:val="4F6665FD"/>
    <w:rsid w:val="4F6C798B"/>
    <w:rsid w:val="4F754A92"/>
    <w:rsid w:val="4F7D74A2"/>
    <w:rsid w:val="4F9071D6"/>
    <w:rsid w:val="4FDA5DB2"/>
    <w:rsid w:val="4FE614EB"/>
    <w:rsid w:val="4FFC2ABD"/>
    <w:rsid w:val="502B5150"/>
    <w:rsid w:val="5043693E"/>
    <w:rsid w:val="50546455"/>
    <w:rsid w:val="505E5526"/>
    <w:rsid w:val="50966A6E"/>
    <w:rsid w:val="509E127D"/>
    <w:rsid w:val="50C23D07"/>
    <w:rsid w:val="50D6330E"/>
    <w:rsid w:val="50DE6667"/>
    <w:rsid w:val="50F8349F"/>
    <w:rsid w:val="50F96FFC"/>
    <w:rsid w:val="5100038B"/>
    <w:rsid w:val="512F2A1E"/>
    <w:rsid w:val="51536546"/>
    <w:rsid w:val="5153670D"/>
    <w:rsid w:val="51612F33"/>
    <w:rsid w:val="51711289"/>
    <w:rsid w:val="51A90A23"/>
    <w:rsid w:val="51B97834"/>
    <w:rsid w:val="51C13FBE"/>
    <w:rsid w:val="51C615D4"/>
    <w:rsid w:val="51D07D5D"/>
    <w:rsid w:val="51E43809"/>
    <w:rsid w:val="51F872B4"/>
    <w:rsid w:val="51FF0643"/>
    <w:rsid w:val="520420FD"/>
    <w:rsid w:val="52187956"/>
    <w:rsid w:val="521A547C"/>
    <w:rsid w:val="521F52CC"/>
    <w:rsid w:val="522400A9"/>
    <w:rsid w:val="523C3645"/>
    <w:rsid w:val="523D322A"/>
    <w:rsid w:val="524D5852"/>
    <w:rsid w:val="52554706"/>
    <w:rsid w:val="526613C5"/>
    <w:rsid w:val="526A01B2"/>
    <w:rsid w:val="5272350A"/>
    <w:rsid w:val="5280642C"/>
    <w:rsid w:val="52A116FA"/>
    <w:rsid w:val="52AD4F6C"/>
    <w:rsid w:val="52B04ABD"/>
    <w:rsid w:val="52B256B5"/>
    <w:rsid w:val="52E27C0B"/>
    <w:rsid w:val="52FE6B4C"/>
    <w:rsid w:val="53157F3E"/>
    <w:rsid w:val="53246BF7"/>
    <w:rsid w:val="535639A4"/>
    <w:rsid w:val="535A6478"/>
    <w:rsid w:val="53634C01"/>
    <w:rsid w:val="538210AF"/>
    <w:rsid w:val="53840C34"/>
    <w:rsid w:val="538A6632"/>
    <w:rsid w:val="53AC65A8"/>
    <w:rsid w:val="54065CB8"/>
    <w:rsid w:val="54442C85"/>
    <w:rsid w:val="544764A5"/>
    <w:rsid w:val="54994D7E"/>
    <w:rsid w:val="54C17E31"/>
    <w:rsid w:val="54D73AF9"/>
    <w:rsid w:val="553C395C"/>
    <w:rsid w:val="553E1482"/>
    <w:rsid w:val="554A6079"/>
    <w:rsid w:val="554F368F"/>
    <w:rsid w:val="555D5502"/>
    <w:rsid w:val="55760C1C"/>
    <w:rsid w:val="55911EF9"/>
    <w:rsid w:val="559E0172"/>
    <w:rsid w:val="55A25EB5"/>
    <w:rsid w:val="55CC4337"/>
    <w:rsid w:val="55CF47D0"/>
    <w:rsid w:val="55D83684"/>
    <w:rsid w:val="55F83D27"/>
    <w:rsid w:val="55F935FB"/>
    <w:rsid w:val="56401091"/>
    <w:rsid w:val="564C5E20"/>
    <w:rsid w:val="564E44A8"/>
    <w:rsid w:val="56503B63"/>
    <w:rsid w:val="566B274A"/>
    <w:rsid w:val="56794E67"/>
    <w:rsid w:val="56892BD1"/>
    <w:rsid w:val="56C97471"/>
    <w:rsid w:val="56D54068"/>
    <w:rsid w:val="571A1A7B"/>
    <w:rsid w:val="574153BB"/>
    <w:rsid w:val="57521214"/>
    <w:rsid w:val="575907F5"/>
    <w:rsid w:val="57607DD5"/>
    <w:rsid w:val="57852612"/>
    <w:rsid w:val="57A924A2"/>
    <w:rsid w:val="57CF6D09"/>
    <w:rsid w:val="57E26A3C"/>
    <w:rsid w:val="57FE6468"/>
    <w:rsid w:val="58474AF1"/>
    <w:rsid w:val="5870229A"/>
    <w:rsid w:val="58A65CBC"/>
    <w:rsid w:val="58C93758"/>
    <w:rsid w:val="58CD3249"/>
    <w:rsid w:val="58D565A1"/>
    <w:rsid w:val="58DA3BB7"/>
    <w:rsid w:val="58E84CD7"/>
    <w:rsid w:val="59232E69"/>
    <w:rsid w:val="592F7A5F"/>
    <w:rsid w:val="594A4899"/>
    <w:rsid w:val="59570D64"/>
    <w:rsid w:val="5976568E"/>
    <w:rsid w:val="5984440C"/>
    <w:rsid w:val="599975CF"/>
    <w:rsid w:val="59BB6625"/>
    <w:rsid w:val="59CC3500"/>
    <w:rsid w:val="59CE5F61"/>
    <w:rsid w:val="5A19426B"/>
    <w:rsid w:val="5A427C66"/>
    <w:rsid w:val="5A52785C"/>
    <w:rsid w:val="5A551748"/>
    <w:rsid w:val="5A56726E"/>
    <w:rsid w:val="5A6E2809"/>
    <w:rsid w:val="5ABB4095"/>
    <w:rsid w:val="5AC32B55"/>
    <w:rsid w:val="5AC62645"/>
    <w:rsid w:val="5ADE798F"/>
    <w:rsid w:val="5AE20B01"/>
    <w:rsid w:val="5B3D76CA"/>
    <w:rsid w:val="5B547C51"/>
    <w:rsid w:val="5B7420A1"/>
    <w:rsid w:val="5B9F57FE"/>
    <w:rsid w:val="5BA83AF9"/>
    <w:rsid w:val="5BA8671E"/>
    <w:rsid w:val="5BD20B76"/>
    <w:rsid w:val="5BD30C15"/>
    <w:rsid w:val="5BD47038"/>
    <w:rsid w:val="5BED36B2"/>
    <w:rsid w:val="5BF154A0"/>
    <w:rsid w:val="5C133668"/>
    <w:rsid w:val="5C303710"/>
    <w:rsid w:val="5C476399"/>
    <w:rsid w:val="5C91458D"/>
    <w:rsid w:val="5C983B6D"/>
    <w:rsid w:val="5C98591B"/>
    <w:rsid w:val="5CA40764"/>
    <w:rsid w:val="5CAC064F"/>
    <w:rsid w:val="5CC0361A"/>
    <w:rsid w:val="5CE639DC"/>
    <w:rsid w:val="5CE768A3"/>
    <w:rsid w:val="5D3D64C3"/>
    <w:rsid w:val="5D5A4E0F"/>
    <w:rsid w:val="5D7579F0"/>
    <w:rsid w:val="5D8361CA"/>
    <w:rsid w:val="5D975B25"/>
    <w:rsid w:val="5DBC7D30"/>
    <w:rsid w:val="5DC310BE"/>
    <w:rsid w:val="5DCB3ACF"/>
    <w:rsid w:val="5E0771FD"/>
    <w:rsid w:val="5E257683"/>
    <w:rsid w:val="5E2F22B0"/>
    <w:rsid w:val="5E39312E"/>
    <w:rsid w:val="5E512226"/>
    <w:rsid w:val="5E5341F0"/>
    <w:rsid w:val="5E565A8E"/>
    <w:rsid w:val="5E652175"/>
    <w:rsid w:val="5E653F23"/>
    <w:rsid w:val="5E8E5228"/>
    <w:rsid w:val="5EA762EA"/>
    <w:rsid w:val="5ECA3D86"/>
    <w:rsid w:val="5ED74E21"/>
    <w:rsid w:val="5EFF2893"/>
    <w:rsid w:val="5F096FA4"/>
    <w:rsid w:val="5F1F40D2"/>
    <w:rsid w:val="5F21656A"/>
    <w:rsid w:val="5F217E4A"/>
    <w:rsid w:val="5F61293D"/>
    <w:rsid w:val="5F6366B5"/>
    <w:rsid w:val="5F7578F4"/>
    <w:rsid w:val="5F775C2F"/>
    <w:rsid w:val="5F8D54E0"/>
    <w:rsid w:val="5FC02406"/>
    <w:rsid w:val="5FED41D0"/>
    <w:rsid w:val="5FFF4B17"/>
    <w:rsid w:val="60172FFB"/>
    <w:rsid w:val="6042276E"/>
    <w:rsid w:val="60567FC7"/>
    <w:rsid w:val="605B738C"/>
    <w:rsid w:val="605E50CE"/>
    <w:rsid w:val="606C77EB"/>
    <w:rsid w:val="60CF38D6"/>
    <w:rsid w:val="60D62EB6"/>
    <w:rsid w:val="60F03F78"/>
    <w:rsid w:val="60F4333C"/>
    <w:rsid w:val="60FB291D"/>
    <w:rsid w:val="6103520A"/>
    <w:rsid w:val="611A2DA3"/>
    <w:rsid w:val="611B4D6D"/>
    <w:rsid w:val="61314591"/>
    <w:rsid w:val="613D2F35"/>
    <w:rsid w:val="615606BA"/>
    <w:rsid w:val="61706E67"/>
    <w:rsid w:val="61AE50A6"/>
    <w:rsid w:val="61B2122D"/>
    <w:rsid w:val="61CD6067"/>
    <w:rsid w:val="61DE45D9"/>
    <w:rsid w:val="61E84C4F"/>
    <w:rsid w:val="61ED6709"/>
    <w:rsid w:val="61F01D56"/>
    <w:rsid w:val="61F22181"/>
    <w:rsid w:val="61F5736C"/>
    <w:rsid w:val="62043BE0"/>
    <w:rsid w:val="62114D88"/>
    <w:rsid w:val="622D4D58"/>
    <w:rsid w:val="62361E5F"/>
    <w:rsid w:val="625422E5"/>
    <w:rsid w:val="62797F9D"/>
    <w:rsid w:val="62845DC3"/>
    <w:rsid w:val="62C80BCC"/>
    <w:rsid w:val="62D11B87"/>
    <w:rsid w:val="62D653F0"/>
    <w:rsid w:val="62E01DCA"/>
    <w:rsid w:val="62F87114"/>
    <w:rsid w:val="63063CC9"/>
    <w:rsid w:val="630958C3"/>
    <w:rsid w:val="631101D6"/>
    <w:rsid w:val="6329551F"/>
    <w:rsid w:val="63310878"/>
    <w:rsid w:val="63495BC1"/>
    <w:rsid w:val="63536A40"/>
    <w:rsid w:val="635A1B7D"/>
    <w:rsid w:val="63666773"/>
    <w:rsid w:val="637B1AF3"/>
    <w:rsid w:val="638135AD"/>
    <w:rsid w:val="63AB4186"/>
    <w:rsid w:val="63B96E27"/>
    <w:rsid w:val="63C33BC6"/>
    <w:rsid w:val="63E1404C"/>
    <w:rsid w:val="63FC70D8"/>
    <w:rsid w:val="641C6E32"/>
    <w:rsid w:val="641F6922"/>
    <w:rsid w:val="64264155"/>
    <w:rsid w:val="644545DB"/>
    <w:rsid w:val="644C161A"/>
    <w:rsid w:val="645E38EF"/>
    <w:rsid w:val="64813139"/>
    <w:rsid w:val="649556C1"/>
    <w:rsid w:val="64963088"/>
    <w:rsid w:val="64964E36"/>
    <w:rsid w:val="64AF7CA6"/>
    <w:rsid w:val="64B74DAD"/>
    <w:rsid w:val="64E536C8"/>
    <w:rsid w:val="64F733FB"/>
    <w:rsid w:val="650A1380"/>
    <w:rsid w:val="6511270F"/>
    <w:rsid w:val="651B533C"/>
    <w:rsid w:val="65271F32"/>
    <w:rsid w:val="654C7BEB"/>
    <w:rsid w:val="655A5E64"/>
    <w:rsid w:val="65674A25"/>
    <w:rsid w:val="65684B42"/>
    <w:rsid w:val="656F482C"/>
    <w:rsid w:val="657311E9"/>
    <w:rsid w:val="657A02B4"/>
    <w:rsid w:val="65896749"/>
    <w:rsid w:val="65B732B6"/>
    <w:rsid w:val="65F91B21"/>
    <w:rsid w:val="65FC33BF"/>
    <w:rsid w:val="6601082D"/>
    <w:rsid w:val="6635067F"/>
    <w:rsid w:val="667016B7"/>
    <w:rsid w:val="667A4733"/>
    <w:rsid w:val="668426FE"/>
    <w:rsid w:val="66D460EA"/>
    <w:rsid w:val="66F422E8"/>
    <w:rsid w:val="66F978FF"/>
    <w:rsid w:val="670E33AA"/>
    <w:rsid w:val="670F3C60"/>
    <w:rsid w:val="6759214B"/>
    <w:rsid w:val="6760797E"/>
    <w:rsid w:val="676E209B"/>
    <w:rsid w:val="67982C74"/>
    <w:rsid w:val="679F4002"/>
    <w:rsid w:val="67A27F96"/>
    <w:rsid w:val="67C24194"/>
    <w:rsid w:val="67C9107F"/>
    <w:rsid w:val="67D0065F"/>
    <w:rsid w:val="67E934CF"/>
    <w:rsid w:val="68005D6A"/>
    <w:rsid w:val="681278C3"/>
    <w:rsid w:val="681A7B2C"/>
    <w:rsid w:val="68324E76"/>
    <w:rsid w:val="683926A8"/>
    <w:rsid w:val="68686AEA"/>
    <w:rsid w:val="686D4100"/>
    <w:rsid w:val="688558EE"/>
    <w:rsid w:val="688C5948"/>
    <w:rsid w:val="688D1A12"/>
    <w:rsid w:val="689C0A49"/>
    <w:rsid w:val="68C06926"/>
    <w:rsid w:val="68C161FA"/>
    <w:rsid w:val="68D128E1"/>
    <w:rsid w:val="68DC1286"/>
    <w:rsid w:val="68FB5CC1"/>
    <w:rsid w:val="690A7F15"/>
    <w:rsid w:val="692A0243"/>
    <w:rsid w:val="692E7D33"/>
    <w:rsid w:val="693B5FAC"/>
    <w:rsid w:val="69637B72"/>
    <w:rsid w:val="69894F6A"/>
    <w:rsid w:val="69AC2A06"/>
    <w:rsid w:val="69AE2C22"/>
    <w:rsid w:val="69B0699A"/>
    <w:rsid w:val="69B1626F"/>
    <w:rsid w:val="69B20566"/>
    <w:rsid w:val="69BA3375"/>
    <w:rsid w:val="69C51D1A"/>
    <w:rsid w:val="69FB573C"/>
    <w:rsid w:val="6A1F767C"/>
    <w:rsid w:val="6A4315BC"/>
    <w:rsid w:val="6A440E91"/>
    <w:rsid w:val="6A6E4160"/>
    <w:rsid w:val="6A8F4802"/>
    <w:rsid w:val="6AB37DC4"/>
    <w:rsid w:val="6ADE3093"/>
    <w:rsid w:val="6AE10DD5"/>
    <w:rsid w:val="6B040620"/>
    <w:rsid w:val="6B1B721A"/>
    <w:rsid w:val="6B23319C"/>
    <w:rsid w:val="6B4C26F3"/>
    <w:rsid w:val="6B710FCE"/>
    <w:rsid w:val="6B735ED1"/>
    <w:rsid w:val="6B8579B3"/>
    <w:rsid w:val="6B8A321B"/>
    <w:rsid w:val="6B9B2675"/>
    <w:rsid w:val="6BA77929"/>
    <w:rsid w:val="6BB42046"/>
    <w:rsid w:val="6BC56001"/>
    <w:rsid w:val="6BDB5825"/>
    <w:rsid w:val="6BEC17E0"/>
    <w:rsid w:val="6C0E79A8"/>
    <w:rsid w:val="6C186A79"/>
    <w:rsid w:val="6C2B67AC"/>
    <w:rsid w:val="6C5630FD"/>
    <w:rsid w:val="6C97799E"/>
    <w:rsid w:val="6CAB51F7"/>
    <w:rsid w:val="6CC60283"/>
    <w:rsid w:val="6D2A6A64"/>
    <w:rsid w:val="6D3276C6"/>
    <w:rsid w:val="6D370745"/>
    <w:rsid w:val="6D48513C"/>
    <w:rsid w:val="6D5C2995"/>
    <w:rsid w:val="6D654F90"/>
    <w:rsid w:val="6D6667DE"/>
    <w:rsid w:val="6D8B6DD7"/>
    <w:rsid w:val="6DA0151B"/>
    <w:rsid w:val="6DB1683D"/>
    <w:rsid w:val="6DC10CEB"/>
    <w:rsid w:val="6DC5678C"/>
    <w:rsid w:val="6DC742B3"/>
    <w:rsid w:val="6DC971CE"/>
    <w:rsid w:val="6DCE5641"/>
    <w:rsid w:val="6DE210EC"/>
    <w:rsid w:val="6DE54739"/>
    <w:rsid w:val="6DF901E4"/>
    <w:rsid w:val="6E0F17B6"/>
    <w:rsid w:val="6E1B63AC"/>
    <w:rsid w:val="6E5042A8"/>
    <w:rsid w:val="6E55366C"/>
    <w:rsid w:val="6E737F96"/>
    <w:rsid w:val="6E7F4EAB"/>
    <w:rsid w:val="6EA42846"/>
    <w:rsid w:val="6EB365E5"/>
    <w:rsid w:val="6EB5235D"/>
    <w:rsid w:val="6EE42C42"/>
    <w:rsid w:val="6EF32E85"/>
    <w:rsid w:val="6EF56BFD"/>
    <w:rsid w:val="6F086931"/>
    <w:rsid w:val="6F2F65B3"/>
    <w:rsid w:val="6F593630"/>
    <w:rsid w:val="6F631DB9"/>
    <w:rsid w:val="6FA04DBB"/>
    <w:rsid w:val="6FC95D77"/>
    <w:rsid w:val="6FD732A7"/>
    <w:rsid w:val="6FE6718B"/>
    <w:rsid w:val="6FFD220E"/>
    <w:rsid w:val="700F3CEF"/>
    <w:rsid w:val="70455963"/>
    <w:rsid w:val="707149AA"/>
    <w:rsid w:val="70877D29"/>
    <w:rsid w:val="70AB7EBB"/>
    <w:rsid w:val="70C14F73"/>
    <w:rsid w:val="70E616D1"/>
    <w:rsid w:val="70E94540"/>
    <w:rsid w:val="70FD7FEB"/>
    <w:rsid w:val="712674EA"/>
    <w:rsid w:val="714B51FB"/>
    <w:rsid w:val="715F2A54"/>
    <w:rsid w:val="71616CD5"/>
    <w:rsid w:val="717C64BF"/>
    <w:rsid w:val="71A566B9"/>
    <w:rsid w:val="71AA3CCF"/>
    <w:rsid w:val="71C1726B"/>
    <w:rsid w:val="71D207BD"/>
    <w:rsid w:val="72062ED0"/>
    <w:rsid w:val="72121874"/>
    <w:rsid w:val="723604ED"/>
    <w:rsid w:val="724D0AFE"/>
    <w:rsid w:val="72606A84"/>
    <w:rsid w:val="727442DD"/>
    <w:rsid w:val="728C1627"/>
    <w:rsid w:val="72A15258"/>
    <w:rsid w:val="72A9667D"/>
    <w:rsid w:val="72F01BB6"/>
    <w:rsid w:val="72F2473D"/>
    <w:rsid w:val="73351CBE"/>
    <w:rsid w:val="733E234E"/>
    <w:rsid w:val="734420A9"/>
    <w:rsid w:val="735E3C7B"/>
    <w:rsid w:val="73642743"/>
    <w:rsid w:val="73944C37"/>
    <w:rsid w:val="73966C01"/>
    <w:rsid w:val="73AB1F81"/>
    <w:rsid w:val="73B928EF"/>
    <w:rsid w:val="73C372CA"/>
    <w:rsid w:val="73CB5BF9"/>
    <w:rsid w:val="74130252"/>
    <w:rsid w:val="742D6E39"/>
    <w:rsid w:val="745B5755"/>
    <w:rsid w:val="74786307"/>
    <w:rsid w:val="74AC4202"/>
    <w:rsid w:val="74B135C7"/>
    <w:rsid w:val="74C01A5C"/>
    <w:rsid w:val="74DE2CC1"/>
    <w:rsid w:val="74DE6B0D"/>
    <w:rsid w:val="74E90FB2"/>
    <w:rsid w:val="74EB6AD9"/>
    <w:rsid w:val="74EE2751"/>
    <w:rsid w:val="74F72203"/>
    <w:rsid w:val="751122B7"/>
    <w:rsid w:val="75241FEA"/>
    <w:rsid w:val="753A180E"/>
    <w:rsid w:val="754461E9"/>
    <w:rsid w:val="754D1003"/>
    <w:rsid w:val="755A442D"/>
    <w:rsid w:val="7564688B"/>
    <w:rsid w:val="75750A98"/>
    <w:rsid w:val="75B3511C"/>
    <w:rsid w:val="75BB14B1"/>
    <w:rsid w:val="75C34BC5"/>
    <w:rsid w:val="75CE624F"/>
    <w:rsid w:val="75E579CC"/>
    <w:rsid w:val="76124539"/>
    <w:rsid w:val="763444AF"/>
    <w:rsid w:val="7634625D"/>
    <w:rsid w:val="764D4CF2"/>
    <w:rsid w:val="765406AD"/>
    <w:rsid w:val="765661D4"/>
    <w:rsid w:val="76780840"/>
    <w:rsid w:val="768C42EB"/>
    <w:rsid w:val="76AA651F"/>
    <w:rsid w:val="76BD44A5"/>
    <w:rsid w:val="76C770D1"/>
    <w:rsid w:val="76F679B7"/>
    <w:rsid w:val="76F971C0"/>
    <w:rsid w:val="76FF686B"/>
    <w:rsid w:val="77084C62"/>
    <w:rsid w:val="770E2F52"/>
    <w:rsid w:val="77204A34"/>
    <w:rsid w:val="772462D2"/>
    <w:rsid w:val="77334767"/>
    <w:rsid w:val="777F5BFE"/>
    <w:rsid w:val="778B00FF"/>
    <w:rsid w:val="779D7E32"/>
    <w:rsid w:val="77B21B30"/>
    <w:rsid w:val="77C27899"/>
    <w:rsid w:val="77CA50CB"/>
    <w:rsid w:val="77DC4DFE"/>
    <w:rsid w:val="77EA751B"/>
    <w:rsid w:val="77F35CA4"/>
    <w:rsid w:val="78300CA6"/>
    <w:rsid w:val="78302F76"/>
    <w:rsid w:val="78544995"/>
    <w:rsid w:val="785E1CB7"/>
    <w:rsid w:val="788A2885"/>
    <w:rsid w:val="78972AD3"/>
    <w:rsid w:val="78AE679B"/>
    <w:rsid w:val="78B40285"/>
    <w:rsid w:val="78DE1BAF"/>
    <w:rsid w:val="79334EF2"/>
    <w:rsid w:val="795C61F7"/>
    <w:rsid w:val="796450AB"/>
    <w:rsid w:val="79887927"/>
    <w:rsid w:val="79A436FA"/>
    <w:rsid w:val="79AB6C68"/>
    <w:rsid w:val="79B3567F"/>
    <w:rsid w:val="79B871A5"/>
    <w:rsid w:val="79CB6ED9"/>
    <w:rsid w:val="79CD3A80"/>
    <w:rsid w:val="79D833A4"/>
    <w:rsid w:val="79FF4DD4"/>
    <w:rsid w:val="7A044199"/>
    <w:rsid w:val="7A1528E7"/>
    <w:rsid w:val="7A173ECC"/>
    <w:rsid w:val="7A183B59"/>
    <w:rsid w:val="7A363DBC"/>
    <w:rsid w:val="7A5944E4"/>
    <w:rsid w:val="7A5B64AE"/>
    <w:rsid w:val="7A680BCB"/>
    <w:rsid w:val="7A9E45ED"/>
    <w:rsid w:val="7AAE577C"/>
    <w:rsid w:val="7AC83418"/>
    <w:rsid w:val="7ACD0A2E"/>
    <w:rsid w:val="7AF91823"/>
    <w:rsid w:val="7B050AB3"/>
    <w:rsid w:val="7B0F54EB"/>
    <w:rsid w:val="7B160627"/>
    <w:rsid w:val="7B234AF2"/>
    <w:rsid w:val="7B252618"/>
    <w:rsid w:val="7B3B008E"/>
    <w:rsid w:val="7B7F441F"/>
    <w:rsid w:val="7B845591"/>
    <w:rsid w:val="7BC9569A"/>
    <w:rsid w:val="7BDC6B36"/>
    <w:rsid w:val="7BE61DA8"/>
    <w:rsid w:val="7BF00326"/>
    <w:rsid w:val="7BF32717"/>
    <w:rsid w:val="7C016BE2"/>
    <w:rsid w:val="7C0B3F04"/>
    <w:rsid w:val="7C246D74"/>
    <w:rsid w:val="7C352D2F"/>
    <w:rsid w:val="7C3F3BAE"/>
    <w:rsid w:val="7C4411C4"/>
    <w:rsid w:val="7C444D20"/>
    <w:rsid w:val="7C686C61"/>
    <w:rsid w:val="7C776EA4"/>
    <w:rsid w:val="7CB9570E"/>
    <w:rsid w:val="7CDD764F"/>
    <w:rsid w:val="7CF93D5D"/>
    <w:rsid w:val="7CFB1883"/>
    <w:rsid w:val="7D1E1A15"/>
    <w:rsid w:val="7D341239"/>
    <w:rsid w:val="7D4C20DE"/>
    <w:rsid w:val="7D4E40A8"/>
    <w:rsid w:val="7D676F18"/>
    <w:rsid w:val="7D692C90"/>
    <w:rsid w:val="7D902913"/>
    <w:rsid w:val="7D935F5F"/>
    <w:rsid w:val="7DBF13B9"/>
    <w:rsid w:val="7DCF663B"/>
    <w:rsid w:val="7DE72E03"/>
    <w:rsid w:val="7E1352F2"/>
    <w:rsid w:val="7E1E7F1F"/>
    <w:rsid w:val="7E355268"/>
    <w:rsid w:val="7E4F632A"/>
    <w:rsid w:val="7E527BC8"/>
    <w:rsid w:val="7E635932"/>
    <w:rsid w:val="7E7C2E97"/>
    <w:rsid w:val="7E8B4E88"/>
    <w:rsid w:val="7E9E05EF"/>
    <w:rsid w:val="7EA877E8"/>
    <w:rsid w:val="7EB536D1"/>
    <w:rsid w:val="7EBB576E"/>
    <w:rsid w:val="7EC32874"/>
    <w:rsid w:val="7EC62364"/>
    <w:rsid w:val="7EF7251E"/>
    <w:rsid w:val="7F0864D9"/>
    <w:rsid w:val="7F0C421B"/>
    <w:rsid w:val="7F0D7F93"/>
    <w:rsid w:val="7F17671C"/>
    <w:rsid w:val="7F5427FB"/>
    <w:rsid w:val="7F816E5B"/>
    <w:rsid w:val="7F9B10FB"/>
    <w:rsid w:val="7F9B734D"/>
    <w:rsid w:val="7FAA7590"/>
    <w:rsid w:val="7FB67325"/>
    <w:rsid w:val="7FE02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34"/>
    <w:qFormat/>
    <w:uiPriority w:val="0"/>
    <w:pPr>
      <w:keepNext/>
      <w:keepLines/>
      <w:tabs>
        <w:tab w:val="left" w:pos="360"/>
      </w:tabs>
      <w:adjustRightInd w:val="0"/>
      <w:spacing w:before="120" w:line="360" w:lineRule="auto"/>
      <w:ind w:left="284" w:hanging="284"/>
      <w:textAlignment w:val="baseline"/>
      <w:outlineLvl w:val="0"/>
    </w:pPr>
    <w:rPr>
      <w:rFonts w:eastAsia="黑体"/>
      <w:b/>
      <w:kern w:val="44"/>
      <w:sz w:val="28"/>
      <w:szCs w:val="20"/>
    </w:rPr>
  </w:style>
  <w:style w:type="paragraph" w:styleId="4">
    <w:name w:val="heading 2"/>
    <w:basedOn w:val="1"/>
    <w:next w:val="1"/>
    <w:unhideWhenUsed/>
    <w:qFormat/>
    <w:uiPriority w:val="0"/>
    <w:pPr>
      <w:keepNext/>
      <w:tabs>
        <w:tab w:val="left" w:pos="1021"/>
      </w:tabs>
      <w:adjustRightInd w:val="0"/>
      <w:spacing w:before="120" w:line="360" w:lineRule="auto"/>
      <w:ind w:left="1021" w:hanging="596"/>
      <w:textAlignment w:val="baseline"/>
      <w:outlineLvl w:val="1"/>
    </w:pPr>
    <w:rPr>
      <w:rFonts w:eastAsia="黑体"/>
      <w:b/>
      <w:kern w:val="0"/>
      <w:sz w:val="28"/>
      <w:szCs w:val="20"/>
    </w:rPr>
  </w:style>
  <w:style w:type="paragraph" w:styleId="5">
    <w:name w:val="heading 3"/>
    <w:basedOn w:val="1"/>
    <w:next w:val="6"/>
    <w:link w:val="40"/>
    <w:unhideWhenUsed/>
    <w:qFormat/>
    <w:uiPriority w:val="0"/>
    <w:pPr>
      <w:tabs>
        <w:tab w:val="left" w:pos="900"/>
      </w:tabs>
      <w:adjustRightInd w:val="0"/>
      <w:spacing w:before="120" w:line="360" w:lineRule="auto"/>
      <w:ind w:left="1588" w:hanging="737"/>
      <w:textAlignment w:val="baseline"/>
      <w:outlineLvl w:val="2"/>
    </w:pPr>
    <w:rPr>
      <w:rFonts w:eastAsia="黑体"/>
      <w:b/>
      <w:kern w:val="0"/>
      <w:sz w:val="28"/>
      <w:szCs w:val="20"/>
    </w:rPr>
  </w:style>
  <w:style w:type="paragraph" w:styleId="7">
    <w:name w:val="heading 4"/>
    <w:next w:val="6"/>
    <w:unhideWhenUsed/>
    <w:qFormat/>
    <w:uiPriority w:val="9"/>
    <w:pPr>
      <w:numPr>
        <w:ilvl w:val="3"/>
        <w:numId w:val="1"/>
      </w:numPr>
      <w:adjustRightInd w:val="0"/>
      <w:snapToGrid w:val="0"/>
      <w:spacing w:beforeLines="100" w:afterLines="50" w:line="288" w:lineRule="auto"/>
      <w:outlineLvl w:val="3"/>
    </w:pPr>
    <w:rPr>
      <w:rFonts w:ascii="黑体" w:hAnsi="黑体" w:eastAsia="黑体" w:cstheme="minorBidi"/>
      <w:b/>
      <w:bCs/>
      <w:sz w:val="28"/>
      <w:szCs w:val="28"/>
      <w:lang w:val="en-US" w:eastAsia="zh-CN" w:bidi="ar-SA"/>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6">
    <w:name w:val="Body Text"/>
    <w:basedOn w:val="1"/>
    <w:next w:val="1"/>
    <w:qFormat/>
    <w:uiPriority w:val="0"/>
    <w:pPr>
      <w:spacing w:after="120"/>
    </w:pPr>
  </w:style>
  <w:style w:type="paragraph" w:styleId="8">
    <w:name w:val="Document Map"/>
    <w:basedOn w:val="1"/>
    <w:unhideWhenUsed/>
    <w:qFormat/>
    <w:uiPriority w:val="99"/>
    <w:rPr>
      <w:rFonts w:ascii="宋体"/>
      <w:kern w:val="0"/>
      <w:sz w:val="18"/>
      <w:szCs w:val="18"/>
    </w:rPr>
  </w:style>
  <w:style w:type="paragraph" w:styleId="9">
    <w:name w:val="annotation text"/>
    <w:basedOn w:val="1"/>
    <w:qFormat/>
    <w:uiPriority w:val="0"/>
    <w:pPr>
      <w:jc w:val="left"/>
    </w:pPr>
  </w:style>
  <w:style w:type="paragraph" w:styleId="10">
    <w:name w:val="Body Text Indent"/>
    <w:basedOn w:val="1"/>
    <w:qFormat/>
    <w:uiPriority w:val="0"/>
    <w:pPr>
      <w:spacing w:line="200" w:lineRule="exact"/>
      <w:ind w:firstLine="301"/>
    </w:pPr>
    <w:rPr>
      <w:rFonts w:ascii="宋体"/>
      <w:spacing w:val="-4"/>
      <w:sz w:val="18"/>
      <w:szCs w:val="20"/>
    </w:rPr>
  </w:style>
  <w:style w:type="paragraph" w:styleId="11">
    <w:name w:val="toc 3"/>
    <w:basedOn w:val="1"/>
    <w:next w:val="1"/>
    <w:qFormat/>
    <w:uiPriority w:val="0"/>
    <w:pPr>
      <w:ind w:left="840" w:leftChars="400"/>
    </w:pPr>
  </w:style>
  <w:style w:type="paragraph" w:styleId="12">
    <w:name w:val="Plain Text"/>
    <w:basedOn w:val="1"/>
    <w:qFormat/>
    <w:uiPriority w:val="0"/>
    <w:rPr>
      <w:rFonts w:ascii="宋体"/>
      <w:szCs w:val="20"/>
    </w:rPr>
  </w:style>
  <w:style w:type="paragraph" w:styleId="13">
    <w:name w:val="Body Text Indent 2"/>
    <w:basedOn w:val="1"/>
    <w:qFormat/>
    <w:uiPriority w:val="0"/>
    <w:pPr>
      <w:spacing w:after="120" w:line="480" w:lineRule="auto"/>
      <w:ind w:left="200" w:leftChars="200"/>
    </w:pPr>
  </w:style>
  <w:style w:type="paragraph" w:styleId="14">
    <w:name w:val="Balloon Text"/>
    <w:basedOn w:val="1"/>
    <w:qFormat/>
    <w:uiPriority w:val="0"/>
    <w:rPr>
      <w:sz w:val="18"/>
      <w:szCs w:val="18"/>
    </w:rPr>
  </w:style>
  <w:style w:type="paragraph" w:styleId="15">
    <w:name w:val="footer"/>
    <w:basedOn w:val="1"/>
    <w:qFormat/>
    <w:uiPriority w:val="0"/>
    <w:pPr>
      <w:tabs>
        <w:tab w:val="center" w:pos="4153"/>
        <w:tab w:val="right" w:pos="8306"/>
      </w:tabs>
      <w:snapToGrid w:val="0"/>
      <w:jc w:val="left"/>
    </w:pPr>
    <w:rPr>
      <w:sz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7">
    <w:name w:val="toc 1"/>
    <w:basedOn w:val="1"/>
    <w:next w:val="1"/>
    <w:qFormat/>
    <w:uiPriority w:val="0"/>
  </w:style>
  <w:style w:type="paragraph" w:styleId="18">
    <w:name w:val="Subtitle"/>
    <w:basedOn w:val="1"/>
    <w:next w:val="1"/>
    <w:qFormat/>
    <w:uiPriority w:val="0"/>
    <w:pPr>
      <w:spacing w:before="240" w:after="60" w:line="360" w:lineRule="auto"/>
      <w:jc w:val="left"/>
      <w:outlineLvl w:val="1"/>
    </w:pPr>
    <w:rPr>
      <w:rFonts w:ascii="Cambria" w:hAnsi="Cambria"/>
      <w:b/>
      <w:kern w:val="28"/>
      <w:sz w:val="32"/>
      <w:szCs w:val="32"/>
      <w:lang w:val="zh-CN"/>
    </w:rPr>
  </w:style>
  <w:style w:type="paragraph" w:styleId="19">
    <w:name w:val="footnote text"/>
    <w:basedOn w:val="1"/>
    <w:unhideWhenUsed/>
    <w:qFormat/>
    <w:uiPriority w:val="0"/>
    <w:pPr>
      <w:snapToGrid w:val="0"/>
    </w:pPr>
    <w:rPr>
      <w:sz w:val="18"/>
    </w:rPr>
  </w:style>
  <w:style w:type="paragraph" w:styleId="20">
    <w:name w:val="toc 2"/>
    <w:basedOn w:val="1"/>
    <w:next w:val="1"/>
    <w:qFormat/>
    <w:uiPriority w:val="0"/>
    <w:pPr>
      <w:ind w:left="420" w:leftChars="200"/>
    </w:pPr>
  </w:style>
  <w:style w:type="paragraph" w:styleId="21">
    <w:name w:val="Normal (Web)"/>
    <w:basedOn w:val="1"/>
    <w:qFormat/>
    <w:uiPriority w:val="0"/>
    <w:pPr>
      <w:spacing w:before="100" w:beforeAutospacing="1" w:after="100" w:afterAutospacing="1"/>
      <w:jc w:val="left"/>
    </w:pPr>
    <w:rPr>
      <w:kern w:val="0"/>
      <w:sz w:val="24"/>
    </w:rPr>
  </w:style>
  <w:style w:type="paragraph" w:styleId="22">
    <w:name w:val="Body Text First Indent 2"/>
    <w:basedOn w:val="10"/>
    <w:qFormat/>
    <w:uiPriority w:val="0"/>
    <w:pPr>
      <w:spacing w:after="120"/>
      <w:ind w:left="420" w:leftChars="200" w:firstLine="420"/>
    </w:pPr>
    <w:rPr>
      <w:rFonts w:hAnsi="宋体"/>
      <w:sz w:val="21"/>
    </w:r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Emphasis"/>
    <w:qFormat/>
    <w:uiPriority w:val="0"/>
    <w:rPr>
      <w:i/>
    </w:rPr>
  </w:style>
  <w:style w:type="character" w:styleId="27">
    <w:name w:val="Hyperlink"/>
    <w:qFormat/>
    <w:uiPriority w:val="0"/>
    <w:rPr>
      <w:rFonts w:hint="eastAsia" w:ascii="微软雅黑" w:hAnsi="微软雅黑" w:eastAsia="微软雅黑" w:cs="微软雅黑"/>
      <w:color w:val="428BCA"/>
      <w:sz w:val="24"/>
      <w:szCs w:val="24"/>
      <w:u w:val="none"/>
    </w:rPr>
  </w:style>
  <w:style w:type="character" w:customStyle="1" w:styleId="28">
    <w:name w:val="NormalCharacter"/>
    <w:qFormat/>
    <w:uiPriority w:val="0"/>
    <w:rPr>
      <w:kern w:val="2"/>
      <w:sz w:val="21"/>
      <w:szCs w:val="24"/>
      <w:lang w:val="en-US" w:eastAsia="zh-CN" w:bidi="ar-SA"/>
    </w:rPr>
  </w:style>
  <w:style w:type="paragraph" w:customStyle="1" w:styleId="29">
    <w:name w:val="表格文字"/>
    <w:basedOn w:val="1"/>
    <w:next w:val="6"/>
    <w:qFormat/>
    <w:uiPriority w:val="0"/>
    <w:pPr>
      <w:spacing w:before="25" w:after="25"/>
      <w:jc w:val="left"/>
    </w:pPr>
    <w:rPr>
      <w:bCs/>
      <w:spacing w:val="10"/>
      <w:kern w:val="0"/>
      <w:sz w:val="24"/>
    </w:rPr>
  </w:style>
  <w:style w:type="paragraph" w:customStyle="1" w:styleId="30">
    <w:name w:val="p0"/>
    <w:basedOn w:val="1"/>
    <w:qFormat/>
    <w:uiPriority w:val="0"/>
    <w:pPr>
      <w:widowControl/>
    </w:pPr>
    <w:rPr>
      <w:rFonts w:ascii="Times New Roman" w:hAnsi="Times New Roman"/>
      <w:kern w:val="0"/>
      <w:szCs w:val="21"/>
    </w:rPr>
  </w:style>
  <w:style w:type="paragraph" w:customStyle="1" w:styleId="31">
    <w:name w:val="font7"/>
    <w:basedOn w:val="1"/>
    <w:qFormat/>
    <w:uiPriority w:val="0"/>
    <w:pPr>
      <w:widowControl/>
      <w:spacing w:before="100" w:beforeAutospacing="1" w:after="100" w:afterAutospacing="1"/>
      <w:jc w:val="left"/>
    </w:pPr>
    <w:rPr>
      <w:rFonts w:ascii="Verdana" w:hAnsi="Verdana"/>
      <w:kern w:val="0"/>
      <w:sz w:val="20"/>
      <w:szCs w:val="20"/>
    </w:rPr>
  </w:style>
  <w:style w:type="paragraph" w:customStyle="1" w:styleId="32">
    <w:name w:val="列表段落1"/>
    <w:basedOn w:val="1"/>
    <w:qFormat/>
    <w:uiPriority w:val="34"/>
    <w:pPr>
      <w:ind w:firstLine="420" w:firstLineChars="200"/>
    </w:pPr>
  </w:style>
  <w:style w:type="paragraph" w:customStyle="1" w:styleId="33">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character" w:customStyle="1" w:styleId="34">
    <w:name w:val="标题 1 字符"/>
    <w:link w:val="3"/>
    <w:qFormat/>
    <w:uiPriority w:val="0"/>
    <w:rPr>
      <w:rFonts w:eastAsia="黑体"/>
      <w:b/>
      <w:kern w:val="44"/>
      <w:sz w:val="28"/>
      <w:szCs w:val="20"/>
    </w:rPr>
  </w:style>
  <w:style w:type="paragraph" w:styleId="35">
    <w:name w:val="List Paragraph"/>
    <w:basedOn w:val="1"/>
    <w:qFormat/>
    <w:uiPriority w:val="99"/>
    <w:pPr>
      <w:ind w:firstLine="420" w:firstLineChars="200"/>
    </w:pPr>
  </w:style>
  <w:style w:type="character" w:customStyle="1" w:styleId="36">
    <w:name w:val="标题 1 Char1"/>
    <w:qFormat/>
    <w:uiPriority w:val="0"/>
    <w:rPr>
      <w:rFonts w:ascii="Times New Roman" w:hAnsi="Times New Roman" w:eastAsia="宋体" w:cs="Times New Roman"/>
      <w:b/>
      <w:bCs/>
      <w:kern w:val="44"/>
      <w:sz w:val="32"/>
      <w:szCs w:val="44"/>
    </w:rPr>
  </w:style>
  <w:style w:type="paragraph" w:customStyle="1" w:styleId="37">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38">
    <w:name w:val="样式 加粗 段前: 7.8 磅 段后: 7.8 磅 行距: 固定值 20 磅"/>
    <w:basedOn w:val="1"/>
    <w:qFormat/>
    <w:uiPriority w:val="0"/>
    <w:pPr>
      <w:spacing w:before="60" w:after="60" w:line="360" w:lineRule="exact"/>
    </w:pPr>
    <w:rPr>
      <w:rFonts w:ascii="Times New Roman" w:hAnsi="Times New Roman" w:cs="宋体"/>
      <w:b/>
      <w:bCs/>
      <w:spacing w:val="-2"/>
      <w:sz w:val="24"/>
      <w:szCs w:val="20"/>
    </w:rPr>
  </w:style>
  <w:style w:type="character" w:customStyle="1" w:styleId="39">
    <w:name w:val="font31"/>
    <w:basedOn w:val="25"/>
    <w:qFormat/>
    <w:uiPriority w:val="0"/>
    <w:rPr>
      <w:rFonts w:hint="default" w:ascii="Times New Roman" w:hAnsi="Times New Roman" w:cs="Times New Roman"/>
      <w:color w:val="000000"/>
      <w:sz w:val="24"/>
      <w:szCs w:val="24"/>
      <w:u w:val="none"/>
    </w:rPr>
  </w:style>
  <w:style w:type="character" w:customStyle="1" w:styleId="40">
    <w:name w:val="标题 3 字符"/>
    <w:link w:val="5"/>
    <w:qFormat/>
    <w:uiPriority w:val="9"/>
    <w:rPr>
      <w:rFonts w:eastAsia="黑体"/>
      <w:b/>
      <w:kern w:val="0"/>
      <w:sz w:val="28"/>
      <w:szCs w:val="20"/>
    </w:rPr>
  </w:style>
  <w:style w:type="character" w:customStyle="1" w:styleId="41">
    <w:name w:val="font11"/>
    <w:basedOn w:val="25"/>
    <w:qFormat/>
    <w:uiPriority w:val="0"/>
    <w:rPr>
      <w:rFonts w:hint="eastAsia" w:ascii="宋体" w:hAnsi="宋体" w:eastAsia="宋体" w:cs="宋体"/>
      <w:color w:val="000000"/>
      <w:sz w:val="21"/>
      <w:szCs w:val="21"/>
      <w:u w:val="none"/>
    </w:rPr>
  </w:style>
  <w:style w:type="character" w:customStyle="1" w:styleId="42">
    <w:name w:val="font21"/>
    <w:basedOn w:val="25"/>
    <w:qFormat/>
    <w:uiPriority w:val="0"/>
    <w:rPr>
      <w:rFonts w:hint="default" w:ascii="Calibri" w:hAnsi="Calibri" w:cs="Calibri"/>
      <w:color w:val="000000"/>
      <w:sz w:val="21"/>
      <w:szCs w:val="21"/>
      <w:u w:val="none"/>
    </w:rPr>
  </w:style>
  <w:style w:type="paragraph" w:customStyle="1" w:styleId="43">
    <w:name w:val="样式1"/>
    <w:basedOn w:val="1"/>
    <w:qFormat/>
    <w:uiPriority w:val="0"/>
    <w:pPr>
      <w:jc w:val="left"/>
    </w:pPr>
    <w:rPr>
      <w:rFonts w:eastAsia="仿宋_GB2312" w:asciiTheme="minorHAnsi" w:hAnsiTheme="minorHAnsi"/>
      <w:sz w:val="28"/>
    </w:rPr>
  </w:style>
  <w:style w:type="table" w:customStyle="1" w:styleId="44">
    <w:name w:val="网格型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134</Pages>
  <Words>66</Words>
  <Characters>72</Characters>
  <Lines>4112</Lines>
  <Paragraphs>6038</Paragraphs>
  <TotalTime>0</TotalTime>
  <ScaleCrop>false</ScaleCrop>
  <LinksUpToDate>false</LinksUpToDate>
  <CharactersWithSpaces>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2024-07-05T01:20:00Z</dcterms:created>
  <dc:creator>MY</dc:creator>
  <cp:lastModifiedBy>ASUS</cp:lastModifiedBy>
  <cp:lastPrinted>2026-05-26T04:11:00Z</cp:lastPrinted>
  <dcterms:modified xsi:type="dcterms:W3CDTF">2026-09-21T08:35:23Z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98D4C87AA84E4F73BB8A0E9817D53DCE_13</vt:lpwstr>
  </property>
  <property fmtid="{D5CDD505-2E9C-101B-9397-08002B2CF9AE}" pid="4" name="KSOTemplateDocerSaveRecord">
    <vt:lpwstr>eyJoZGlkIjoiNGE3YWFmNjZhNjgzMjRkNGU1ZDVmMTVlMGNkOGU2OWUiLCJ1c2VySWQiOiI0NTU3ODI0NTEifQ==</vt:lpwstr>
  </property>
</Properties>
</file>