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51906">
      <w:pPr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34、红外测油仪</w:t>
      </w:r>
    </w:p>
    <w:bookmarkEnd w:id="0"/>
    <w:p w14:paraId="4455B2F9">
      <w:pPr>
        <w:pStyle w:val="17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b/>
          <w:bCs/>
          <w:sz w:val="22"/>
          <w:szCs w:val="22"/>
        </w:rPr>
      </w:pPr>
      <w:r>
        <w:rPr>
          <w:rFonts w:hint="eastAsia" w:asciiTheme="minorEastAsia" w:hAnsiTheme="minorEastAsia"/>
          <w:b/>
          <w:bCs/>
          <w:sz w:val="22"/>
          <w:szCs w:val="22"/>
        </w:rPr>
        <w:t>符合标准</w:t>
      </w:r>
    </w:p>
    <w:p w14:paraId="74114854">
      <w:pPr>
        <w:widowControl/>
        <w:shd w:val="clear" w:color="auto" w:fill="FFFFFF"/>
        <w:spacing w:line="400" w:lineRule="atLeast"/>
        <w:ind w:firstLine="210" w:firstLineChars="100"/>
        <w:jc w:val="left"/>
        <w:rPr>
          <w:rFonts w:ascii="微软雅黑" w:hAnsi="微软雅黑" w:eastAsia="微软雅黑" w:cs="宋体"/>
          <w:color w:val="474747"/>
          <w:kern w:val="0"/>
          <w:sz w:val="18"/>
          <w:szCs w:val="18"/>
        </w:rPr>
      </w:pPr>
      <w:r>
        <w:rPr>
          <w:rFonts w:hint="eastAsia" w:ascii="宋体" w:hAnsi="宋体" w:cs="宋体"/>
          <w:color w:val="474747"/>
          <w:kern w:val="0"/>
          <w:szCs w:val="21"/>
        </w:rPr>
        <w:t>“HJ 637-2018 水质 石油类和动植物油类的测定 红外分光光度法”</w:t>
      </w:r>
    </w:p>
    <w:p w14:paraId="5F10A533">
      <w:pPr>
        <w:widowControl/>
        <w:shd w:val="clear" w:color="auto" w:fill="FFFFFF"/>
        <w:spacing w:line="400" w:lineRule="atLeast"/>
        <w:ind w:firstLine="210" w:firstLineChars="100"/>
        <w:jc w:val="left"/>
        <w:rPr>
          <w:rFonts w:ascii="微软雅黑" w:hAnsi="微软雅黑" w:eastAsia="微软雅黑" w:cs="宋体"/>
          <w:color w:val="474747"/>
          <w:kern w:val="0"/>
          <w:sz w:val="18"/>
          <w:szCs w:val="18"/>
        </w:rPr>
      </w:pPr>
      <w:r>
        <w:rPr>
          <w:rFonts w:hint="eastAsia" w:ascii="宋体" w:hAnsi="宋体" w:cs="宋体"/>
          <w:color w:val="474747"/>
          <w:kern w:val="0"/>
          <w:szCs w:val="21"/>
        </w:rPr>
        <w:t>“HJ 1077-2019 固定污染源废气 油烟和油雾的测定 红外分光光度法”</w:t>
      </w:r>
    </w:p>
    <w:p w14:paraId="3C178696">
      <w:pPr>
        <w:widowControl/>
        <w:shd w:val="clear" w:color="auto" w:fill="FFFFFF"/>
        <w:spacing w:line="400" w:lineRule="atLeast"/>
        <w:ind w:firstLine="210" w:firstLineChars="100"/>
        <w:jc w:val="left"/>
        <w:rPr>
          <w:rFonts w:ascii="宋体" w:hAnsi="宋体" w:cs="宋体"/>
          <w:color w:val="474747"/>
          <w:kern w:val="0"/>
          <w:szCs w:val="21"/>
        </w:rPr>
      </w:pPr>
      <w:r>
        <w:rPr>
          <w:rFonts w:hint="eastAsia" w:ascii="宋体" w:hAnsi="宋体" w:cs="宋体"/>
          <w:color w:val="474747"/>
          <w:kern w:val="0"/>
          <w:szCs w:val="21"/>
        </w:rPr>
        <w:t>“HJ 1051-2019 土壤 石油类的测定 红外分光光度法”</w:t>
      </w:r>
    </w:p>
    <w:p w14:paraId="10F99C8E">
      <w:pPr>
        <w:widowControl/>
        <w:shd w:val="clear" w:color="auto" w:fill="FFFFFF"/>
        <w:spacing w:line="400" w:lineRule="atLeast"/>
        <w:ind w:firstLine="210" w:firstLineChars="100"/>
        <w:jc w:val="left"/>
        <w:rPr>
          <w:rFonts w:ascii="宋体" w:hAnsi="宋体" w:cs="宋体"/>
          <w:color w:val="474747"/>
          <w:kern w:val="0"/>
          <w:szCs w:val="21"/>
        </w:rPr>
      </w:pPr>
      <w:r>
        <w:rPr>
          <w:rFonts w:hint="eastAsia" w:ascii="宋体" w:hAnsi="宋体" w:cs="宋体"/>
          <w:color w:val="474747"/>
          <w:kern w:val="0"/>
          <w:szCs w:val="21"/>
        </w:rPr>
        <w:t>“GB2084-2021《农田灌溉水质标准》”</w:t>
      </w:r>
    </w:p>
    <w:p w14:paraId="7FC1C6D7">
      <w:pPr>
        <w:pStyle w:val="17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b/>
          <w:bCs/>
          <w:sz w:val="22"/>
          <w:szCs w:val="22"/>
        </w:rPr>
      </w:pPr>
      <w:r>
        <w:rPr>
          <w:rFonts w:hint="eastAsia" w:asciiTheme="minorEastAsia" w:hAnsiTheme="minorEastAsia"/>
          <w:b/>
          <w:bCs/>
          <w:sz w:val="22"/>
          <w:szCs w:val="22"/>
        </w:rPr>
        <w:t>应用领域</w:t>
      </w:r>
    </w:p>
    <w:p w14:paraId="6D38B7BC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用工业废水和生活污水中石油类和动植物油类的测定</w:t>
      </w:r>
    </w:p>
    <w:p w14:paraId="06B95609">
      <w:pPr>
        <w:pStyle w:val="17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b/>
          <w:bCs/>
          <w:sz w:val="22"/>
          <w:szCs w:val="22"/>
        </w:rPr>
      </w:pPr>
      <w:r>
        <w:rPr>
          <w:rFonts w:hint="eastAsia" w:asciiTheme="minorEastAsia" w:hAnsiTheme="minorEastAsia"/>
          <w:b/>
          <w:bCs/>
          <w:sz w:val="22"/>
          <w:szCs w:val="22"/>
        </w:rPr>
        <w:t>技术指标和有关参数性能</w:t>
      </w:r>
    </w:p>
    <w:p w14:paraId="03E8D3AE">
      <w:pPr>
        <w:spacing w:line="360" w:lineRule="auto"/>
        <w:ind w:left="210" w:hanging="210" w:hangingChars="1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kern w:val="0"/>
          <w:szCs w:val="21"/>
        </w:rPr>
        <w:t>▲</w:t>
      </w:r>
      <w:r>
        <w:rPr>
          <w:rFonts w:hint="eastAsia" w:asciiTheme="minorEastAsia" w:hAnsiTheme="minorEastAsia"/>
          <w:szCs w:val="21"/>
        </w:rPr>
        <w:t>软件系统：采用双系统分析,分别满足四氯化碳或四氯乙烯做萃取剂的使用方法</w:t>
      </w:r>
    </w:p>
    <w:p w14:paraId="16C571B1">
      <w:pPr>
        <w:spacing w:line="360" w:lineRule="auto"/>
        <w:ind w:left="210" w:hanging="210" w:hangingChars="100"/>
        <w:rPr>
          <w:rFonts w:asciiTheme="minorEastAsia" w:hAnsiTheme="minorEastAsia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校准方式：</w:t>
      </w:r>
      <w:r>
        <w:rPr>
          <w:rFonts w:hint="eastAsia" w:asciiTheme="minorEastAsia" w:hAnsiTheme="minorEastAsia"/>
          <w:szCs w:val="21"/>
        </w:rPr>
        <w:t>仪器既可用标准曲线校准也可使用系数校准；</w:t>
      </w:r>
    </w:p>
    <w:p w14:paraId="5C1DC566">
      <w:pPr>
        <w:spacing w:line="360" w:lineRule="auto"/>
        <w:ind w:left="210" w:hanging="210" w:hangingChars="1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光源系统：光源使用寿命可达5000小时以上。光源使用电调制调解光源技术，防止仪器内部温度过高影响稳定性；</w:t>
      </w:r>
    </w:p>
    <w:p w14:paraId="463B79C2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方法检出限：当样品体积为500ml，萃取液体积为50ml时，检出限为0.06mg/L；</w:t>
      </w:r>
    </w:p>
    <w:p w14:paraId="3FD21C04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仪器检出限DL≤0.04mg/L(四氯乙烯空白液测定11次的3倍SD)；</w:t>
      </w:r>
    </w:p>
    <w:p w14:paraId="79C84381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波数准确度及重复性：±0.5cm</w:t>
      </w:r>
      <w:r>
        <w:rPr>
          <w:rFonts w:hint="eastAsia" w:asciiTheme="minorEastAsia" w:hAnsiTheme="minorEastAsia"/>
          <w:szCs w:val="21"/>
          <w:vertAlign w:val="superscript"/>
        </w:rPr>
        <w:t>-1</w:t>
      </w:r>
      <w:r>
        <w:rPr>
          <w:rFonts w:hint="eastAsia" w:asciiTheme="minorEastAsia" w:hAnsiTheme="minorEastAsia"/>
          <w:szCs w:val="21"/>
        </w:rPr>
        <w:t>。 采用自动定位校准，30mg/L以上油样自动对2930cm</w:t>
      </w:r>
      <w:r>
        <w:rPr>
          <w:rFonts w:hint="eastAsia" w:asciiTheme="minorEastAsia" w:hAnsiTheme="minorEastAsia"/>
          <w:szCs w:val="21"/>
          <w:vertAlign w:val="superscript"/>
        </w:rPr>
        <w:t>-1</w:t>
      </w:r>
      <w:r>
        <w:rPr>
          <w:rFonts w:hint="eastAsia" w:asciiTheme="minorEastAsia" w:hAnsiTheme="minorEastAsia"/>
          <w:szCs w:val="21"/>
        </w:rPr>
        <w:t>、2960cm</w:t>
      </w:r>
      <w:r>
        <w:rPr>
          <w:rFonts w:hint="eastAsia" w:asciiTheme="minorEastAsia" w:hAnsiTheme="minorEastAsia"/>
          <w:szCs w:val="21"/>
          <w:vertAlign w:val="superscript"/>
        </w:rPr>
        <w:t>-1</w:t>
      </w:r>
      <w:r>
        <w:rPr>
          <w:rFonts w:hint="eastAsia" w:asciiTheme="minorEastAsia" w:hAnsiTheme="minorEastAsia"/>
          <w:szCs w:val="21"/>
        </w:rPr>
        <w:t>、3030cm</w:t>
      </w:r>
      <w:r>
        <w:rPr>
          <w:rFonts w:hint="eastAsia" w:asciiTheme="minorEastAsia" w:hAnsiTheme="minorEastAsia"/>
          <w:szCs w:val="21"/>
          <w:vertAlign w:val="superscript"/>
        </w:rPr>
        <w:t>-1</w:t>
      </w:r>
      <w:r>
        <w:rPr>
          <w:rFonts w:hint="eastAsia" w:asciiTheme="minorEastAsia" w:hAnsiTheme="minorEastAsia"/>
          <w:szCs w:val="21"/>
        </w:rPr>
        <w:t>处校准，消除了人为定位的影响；</w:t>
      </w:r>
    </w:p>
    <w:p w14:paraId="7D026C90">
      <w:pPr>
        <w:spacing w:line="360" w:lineRule="auto"/>
        <w:ind w:left="210" w:hanging="210" w:hangingChars="1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kern w:val="0"/>
          <w:szCs w:val="21"/>
        </w:rPr>
        <w:t>■</w:t>
      </w:r>
      <w:r>
        <w:rPr>
          <w:rFonts w:hint="eastAsia" w:asciiTheme="minorEastAsia" w:hAnsiTheme="minorEastAsia"/>
          <w:szCs w:val="21"/>
        </w:rPr>
        <w:t>重复性：30～40mg/L油标样测定11次 RSD≤0.6%或0.5mg/L水样RSD≤5%，</w:t>
      </w:r>
    </w:p>
    <w:p w14:paraId="4DCC06D1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kern w:val="0"/>
          <w:szCs w:val="21"/>
        </w:rPr>
        <w:t>■</w:t>
      </w:r>
      <w:r>
        <w:rPr>
          <w:rFonts w:hint="eastAsia" w:asciiTheme="minorEastAsia" w:hAnsiTheme="minorEastAsia"/>
          <w:szCs w:val="21"/>
        </w:rPr>
        <w:t>准确度误差：≤1%;</w:t>
      </w:r>
    </w:p>
    <w:p w14:paraId="74FCBB27">
      <w:pPr>
        <w:spacing w:line="360" w:lineRule="auto"/>
        <w:ind w:left="210" w:hanging="210" w:hangingChars="1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校正系数准确度：误差±10%;</w:t>
      </w:r>
    </w:p>
    <w:p w14:paraId="38910255">
      <w:pPr>
        <w:spacing w:line="360" w:lineRule="auto"/>
        <w:ind w:left="210" w:hanging="210" w:hangingChars="100"/>
        <w:rPr>
          <w:rFonts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szCs w:val="21"/>
        </w:rPr>
        <w:t>扫描速度：全谱扫描，45秒钟/次；</w:t>
      </w:r>
      <w:r>
        <w:rPr>
          <w:rFonts w:hint="eastAsia" w:asciiTheme="minorEastAsia" w:hAnsiTheme="minorEastAsia"/>
          <w:kern w:val="0"/>
          <w:szCs w:val="21"/>
        </w:rPr>
        <w:t>非分散红外法2秒钟</w:t>
      </w:r>
      <w:r>
        <w:rPr>
          <w:rFonts w:hint="eastAsia" w:asciiTheme="minorEastAsia" w:hAnsiTheme="minorEastAsia"/>
          <w:szCs w:val="21"/>
        </w:rPr>
        <w:t>/次</w:t>
      </w:r>
      <w:r>
        <w:rPr>
          <w:rFonts w:hint="eastAsia" w:asciiTheme="minorEastAsia" w:hAnsiTheme="minorEastAsia"/>
          <w:kern w:val="0"/>
          <w:szCs w:val="21"/>
        </w:rPr>
        <w:t>；</w:t>
      </w:r>
    </w:p>
    <w:p w14:paraId="36E34CD8">
      <w:pPr>
        <w:numPr>
          <w:ilvl w:val="0"/>
          <w:numId w:val="5"/>
        </w:numPr>
        <w:spacing w:line="360" w:lineRule="auto"/>
        <w:rPr>
          <w:rFonts w:asciiTheme="minorEastAsia" w:hAnsiTheme="minorEastAsia"/>
          <w:kern w:val="0"/>
          <w:sz w:val="22"/>
          <w:szCs w:val="22"/>
        </w:rPr>
      </w:pPr>
      <w:r>
        <w:rPr>
          <w:rFonts w:hint="eastAsia" w:cs="Times New Roman" w:asciiTheme="minorEastAsia" w:hAnsiTheme="minorEastAsia"/>
          <w:b/>
          <w:bCs/>
          <w:sz w:val="22"/>
          <w:szCs w:val="22"/>
        </w:rPr>
        <w:t>技术参数</w:t>
      </w:r>
      <w:r>
        <w:rPr>
          <w:rFonts w:asciiTheme="minorEastAsia" w:hAnsiTheme="minorEastAsia"/>
          <w:kern w:val="0"/>
          <w:sz w:val="22"/>
          <w:szCs w:val="22"/>
        </w:rPr>
        <w:t xml:space="preserve"> </w:t>
      </w:r>
    </w:p>
    <w:p w14:paraId="18C5A097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基本测量范围：0.0～800mg/L</w:t>
      </w:r>
    </w:p>
    <w:p w14:paraId="17AABCC2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最低检出浓度：0.003mg/L(水样浓度)</w:t>
      </w:r>
    </w:p>
    <w:p w14:paraId="0AFE3410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kern w:val="0"/>
          <w:szCs w:val="21"/>
        </w:rPr>
        <w:t>■</w:t>
      </w:r>
      <w:r>
        <w:rPr>
          <w:rFonts w:hint="eastAsia" w:asciiTheme="minorEastAsia" w:hAnsiTheme="minorEastAsia"/>
          <w:szCs w:val="21"/>
        </w:rPr>
        <w:t>线性相关系数r﹥0.9995</w:t>
      </w:r>
    </w:p>
    <w:p w14:paraId="16A09DE7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波数范围：3400cm</w:t>
      </w:r>
      <w:r>
        <w:rPr>
          <w:rFonts w:hint="eastAsia" w:asciiTheme="minorEastAsia" w:hAnsiTheme="minorEastAsia"/>
          <w:szCs w:val="21"/>
          <w:vertAlign w:val="superscript"/>
        </w:rPr>
        <w:t>-1</w:t>
      </w:r>
      <w:r>
        <w:rPr>
          <w:rFonts w:hint="eastAsia" w:asciiTheme="minorEastAsia" w:hAnsiTheme="minorEastAsia"/>
          <w:szCs w:val="21"/>
        </w:rPr>
        <w:t>～2400cm</w:t>
      </w:r>
      <w:r>
        <w:rPr>
          <w:rFonts w:hint="eastAsia" w:asciiTheme="minorEastAsia" w:hAnsiTheme="minorEastAsia"/>
          <w:szCs w:val="21"/>
          <w:vertAlign w:val="superscript"/>
        </w:rPr>
        <w:t>-1</w:t>
      </w:r>
      <w:r>
        <w:rPr>
          <w:rFonts w:hint="eastAsia" w:asciiTheme="minorEastAsia" w:hAnsiTheme="minorEastAsia"/>
          <w:szCs w:val="21"/>
        </w:rPr>
        <w:t>（即2941nm～4167nm）</w:t>
      </w:r>
    </w:p>
    <w:p w14:paraId="7CD0749D">
      <w:pPr>
        <w:spacing w:line="360" w:lineRule="auto"/>
        <w:rPr>
          <w:rFonts w:asciiTheme="minorEastAsia" w:hAnsiTheme="minorEastAsia"/>
          <w:szCs w:val="21"/>
          <w:vertAlign w:val="superscript"/>
        </w:rPr>
      </w:pPr>
      <w:r>
        <w:rPr>
          <w:rFonts w:hint="eastAsia" w:asciiTheme="minorEastAsia" w:hAnsiTheme="minorEastAsia"/>
          <w:szCs w:val="21"/>
        </w:rPr>
        <w:t>波长准确度：±1.0cm</w:t>
      </w:r>
      <w:r>
        <w:rPr>
          <w:rFonts w:hint="eastAsia" w:asciiTheme="minorEastAsia" w:hAnsiTheme="minorEastAsia"/>
          <w:szCs w:val="21"/>
          <w:vertAlign w:val="superscript"/>
        </w:rPr>
        <w:t>-1</w:t>
      </w:r>
    </w:p>
    <w:p w14:paraId="6B847313">
      <w:pPr>
        <w:spacing w:line="360" w:lineRule="auto"/>
        <w:rPr>
          <w:rFonts w:asciiTheme="minorEastAsia" w:hAnsiTheme="minorEastAsia"/>
          <w:szCs w:val="21"/>
          <w:vertAlign w:val="superscript"/>
        </w:rPr>
      </w:pPr>
      <w:r>
        <w:rPr>
          <w:rFonts w:hint="eastAsia" w:asciiTheme="minorEastAsia" w:hAnsiTheme="minorEastAsia"/>
          <w:szCs w:val="21"/>
        </w:rPr>
        <w:t>波数重复性：±0.5cm</w:t>
      </w:r>
      <w:r>
        <w:rPr>
          <w:rFonts w:hint="eastAsia" w:asciiTheme="minorEastAsia" w:hAnsiTheme="minorEastAsia"/>
          <w:szCs w:val="21"/>
          <w:vertAlign w:val="superscript"/>
        </w:rPr>
        <w:t>-1</w:t>
      </w:r>
    </w:p>
    <w:p w14:paraId="02493310">
      <w:pPr>
        <w:spacing w:line="36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吸光度范围：0.0000～ 2.0000AU（即透过率100～1%T）</w:t>
      </w:r>
    </w:p>
    <w:p w14:paraId="68EC9146">
      <w:pPr>
        <w:rPr>
          <w:b/>
          <w:bCs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97E82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9FE458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9FE458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D07402"/>
    <w:multiLevelType w:val="multilevel"/>
    <w:tmpl w:val="A6D0740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0"/>
      </w:pPr>
      <w:rPr>
        <w:rFonts w:hint="default" w:ascii="黑体" w:hAnsi="黑体" w:eastAsia="黑体"/>
        <w:color w:val="auto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suff w:val="space"/>
      <w:lvlText w:val="%5"/>
      <w:lvlJc w:val="left"/>
      <w:pPr>
        <w:ind w:left="0" w:firstLine="0"/>
      </w:pPr>
      <w:rPr>
        <w:rFonts w:hint="eastAsia" w:ascii="黑体" w:hAnsi="黑体" w:eastAsia="黑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0"/>
      </w:pPr>
      <w:rPr>
        <w:rFonts w:hint="eastAsia"/>
      </w:rPr>
    </w:lvl>
  </w:abstractNum>
  <w:abstractNum w:abstractNumId="1">
    <w:nsid w:val="CED906FC"/>
    <w:multiLevelType w:val="multilevel"/>
    <w:tmpl w:val="CED906F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143E589D"/>
    <w:multiLevelType w:val="multilevel"/>
    <w:tmpl w:val="143E589D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3">
    <w:nsid w:val="3BB844FC"/>
    <w:multiLevelType w:val="multilevel"/>
    <w:tmpl w:val="3BB844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E0F540F"/>
    <w:multiLevelType w:val="multilevel"/>
    <w:tmpl w:val="3E0F540F"/>
    <w:lvl w:ilvl="0" w:tentative="0">
      <w:start w:val="1"/>
      <w:numFmt w:val="bullet"/>
      <w:pStyle w:val="24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FZHTK--GBK1-0" w:hAnsi="FZHTK--GBK1-0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FZHTK--GBK1-0" w:hAnsi="FZHTK--GBK1-0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FZHTK--GBK1-0" w:hAnsi="FZHTK--GBK1-0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FZHTK--GBK1-0" w:hAnsi="FZHTK--GBK1-0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FZHTK--GBK1-0" w:hAnsi="FZHTK--GBK1-0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FZHTK--GBK1-0" w:hAnsi="FZHTK--GBK1-0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FZHTK--GBK1-0" w:hAnsi="FZHTK--GBK1-0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FZHTK--GBK1-0" w:hAnsi="FZHTK--GBK1-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A1A20"/>
    <w:rsid w:val="000B2177"/>
    <w:rsid w:val="00411E22"/>
    <w:rsid w:val="004E6E8D"/>
    <w:rsid w:val="00B66A69"/>
    <w:rsid w:val="00C01E06"/>
    <w:rsid w:val="00EE298A"/>
    <w:rsid w:val="03312448"/>
    <w:rsid w:val="03736735"/>
    <w:rsid w:val="0522647B"/>
    <w:rsid w:val="07AF6AAA"/>
    <w:rsid w:val="085B1141"/>
    <w:rsid w:val="11B95320"/>
    <w:rsid w:val="132135EE"/>
    <w:rsid w:val="1F603109"/>
    <w:rsid w:val="21FA2A4D"/>
    <w:rsid w:val="23181B9F"/>
    <w:rsid w:val="235D2694"/>
    <w:rsid w:val="31B04D12"/>
    <w:rsid w:val="36393E81"/>
    <w:rsid w:val="388A594F"/>
    <w:rsid w:val="395D152B"/>
    <w:rsid w:val="3AEC2F3B"/>
    <w:rsid w:val="3D2959BD"/>
    <w:rsid w:val="3D3D4FC4"/>
    <w:rsid w:val="3E9A1FA2"/>
    <w:rsid w:val="422A1A20"/>
    <w:rsid w:val="4AFC3310"/>
    <w:rsid w:val="4CE51F37"/>
    <w:rsid w:val="4ED54C66"/>
    <w:rsid w:val="55A64F94"/>
    <w:rsid w:val="5AC94301"/>
    <w:rsid w:val="60150D5F"/>
    <w:rsid w:val="619F62A2"/>
    <w:rsid w:val="67C718D1"/>
    <w:rsid w:val="684F2AAF"/>
    <w:rsid w:val="69AF3970"/>
    <w:rsid w:val="6C9611B5"/>
    <w:rsid w:val="6D503E66"/>
    <w:rsid w:val="6F732867"/>
    <w:rsid w:val="701B1D7B"/>
    <w:rsid w:val="73E55634"/>
    <w:rsid w:val="76286AE8"/>
    <w:rsid w:val="777C2ADB"/>
    <w:rsid w:val="78B33C13"/>
    <w:rsid w:val="794D1059"/>
    <w:rsid w:val="79D06969"/>
    <w:rsid w:val="7B203D0C"/>
    <w:rsid w:val="7F7A5A9C"/>
    <w:rsid w:val="7F80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微软雅黑" w:hAnsi="微软雅黑" w:eastAsia="微软雅黑" w:cs="Times New Roman"/>
      <w:b/>
      <w:bCs/>
      <w:sz w:val="32"/>
      <w:szCs w:val="32"/>
    </w:rPr>
  </w:style>
  <w:style w:type="paragraph" w:styleId="4">
    <w:name w:val="heading 3"/>
    <w:basedOn w:val="1"/>
    <w:next w:val="5"/>
    <w:link w:val="19"/>
    <w:unhideWhenUsed/>
    <w:qFormat/>
    <w:uiPriority w:val="9"/>
    <w:pPr>
      <w:numPr>
        <w:ilvl w:val="2"/>
        <w:numId w:val="2"/>
      </w:numPr>
      <w:tabs>
        <w:tab w:val="left" w:pos="312"/>
        <w:tab w:val="clear" w:pos="0"/>
      </w:tabs>
      <w:adjustRightInd w:val="0"/>
      <w:snapToGrid w:val="0"/>
      <w:spacing w:beforeLines="100" w:afterLines="50" w:line="288" w:lineRule="auto"/>
      <w:ind w:firstLine="0"/>
      <w:outlineLvl w:val="2"/>
    </w:pPr>
    <w:rPr>
      <w:rFonts w:ascii="黑体" w:hAnsi="黑体" w:eastAsia="黑体"/>
      <w:b/>
      <w:bCs/>
      <w:sz w:val="30"/>
      <w:szCs w:val="30"/>
    </w:rPr>
  </w:style>
  <w:style w:type="paragraph" w:styleId="6">
    <w:name w:val="heading 4"/>
    <w:next w:val="5"/>
    <w:unhideWhenUsed/>
    <w:qFormat/>
    <w:uiPriority w:val="9"/>
    <w:pPr>
      <w:numPr>
        <w:ilvl w:val="3"/>
        <w:numId w:val="3"/>
      </w:numPr>
      <w:adjustRightInd w:val="0"/>
      <w:snapToGrid w:val="0"/>
      <w:spacing w:beforeLines="100" w:afterLines="50" w:line="288" w:lineRule="auto"/>
      <w:outlineLvl w:val="3"/>
    </w:pPr>
    <w:rPr>
      <w:rFonts w:ascii="黑体" w:hAnsi="黑体" w:eastAsia="黑体" w:cstheme="minorBidi"/>
      <w:b/>
      <w:bCs/>
      <w:sz w:val="28"/>
      <w:szCs w:val="28"/>
      <w:lang w:val="en-US" w:eastAsia="zh-CN" w:bidi="ar-SA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numPr>
        <w:ilvl w:val="4"/>
        <w:numId w:val="2"/>
      </w:numPr>
      <w:spacing w:line="372" w:lineRule="auto"/>
      <w:outlineLvl w:val="4"/>
    </w:pPr>
    <w:rPr>
      <w:b/>
      <w:sz w:val="28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1"/>
    <w:pPr>
      <w:autoSpaceDE w:val="0"/>
      <w:autoSpaceDN w:val="0"/>
      <w:ind w:left="103"/>
      <w:jc w:val="left"/>
    </w:pPr>
    <w:rPr>
      <w:rFonts w:ascii="宋体" w:hAnsi="宋体"/>
      <w:kern w:val="0"/>
      <w:sz w:val="30"/>
      <w:szCs w:val="30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0">
    <w:name w:val="Balloon Text"/>
    <w:basedOn w:val="1"/>
    <w:link w:val="28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Body Text First Indent 2"/>
    <w:basedOn w:val="8"/>
    <w:qFormat/>
    <w:uiPriority w:val="0"/>
    <w:pPr>
      <w:ind w:left="0" w:leftChars="0" w:firstLine="420"/>
    </w:pPr>
  </w:style>
  <w:style w:type="table" w:styleId="15">
    <w:name w:val="Table Grid"/>
    <w:basedOn w:val="1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产品手册——表"/>
    <w:qFormat/>
    <w:uiPriority w:val="0"/>
    <w:pPr>
      <w:adjustRightInd w:val="0"/>
      <w:snapToGrid w:val="0"/>
      <w:spacing w:beforeLines="20" w:afterLines="20"/>
      <w:jc w:val="center"/>
    </w:pPr>
    <w:rPr>
      <w:rFonts w:ascii="Microsoft JhengHei" w:hAnsi="Microsoft JhengHei" w:eastAsia="Microsoft JhengHei" w:cs="Times New Roman"/>
      <w:sz w:val="21"/>
      <w:szCs w:val="22"/>
      <w:lang w:val="en-US" w:eastAsia="zh-CN" w:bidi="ar-SA"/>
    </w:rPr>
  </w:style>
  <w:style w:type="character" w:customStyle="1" w:styleId="19">
    <w:name w:val="标题 3 Char"/>
    <w:link w:val="4"/>
    <w:qFormat/>
    <w:uiPriority w:val="9"/>
    <w:rPr>
      <w:rFonts w:ascii="黑体" w:hAnsi="黑体" w:eastAsia="黑体"/>
      <w:b/>
      <w:bCs/>
      <w:sz w:val="30"/>
      <w:szCs w:val="30"/>
    </w:rPr>
  </w:style>
  <w:style w:type="character" w:customStyle="1" w:styleId="20">
    <w:name w:val="font1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21"/>
    <w:basedOn w:val="16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22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LC主要特点"/>
    <w:basedOn w:val="1"/>
    <w:qFormat/>
    <w:uiPriority w:val="0"/>
    <w:pPr>
      <w:outlineLvl w:val="3"/>
    </w:pPr>
    <w:rPr>
      <w:rFonts w:ascii="Arial Unicode MS" w:hAnsi="Arial Unicode MS" w:eastAsia="微软雅黑"/>
      <w:b/>
    </w:rPr>
  </w:style>
  <w:style w:type="paragraph" w:customStyle="1" w:styleId="24">
    <w:name w:val="LC 文字内容 带符号编码"/>
    <w:next w:val="1"/>
    <w:qFormat/>
    <w:uiPriority w:val="0"/>
    <w:pPr>
      <w:numPr>
        <w:ilvl w:val="0"/>
        <w:numId w:val="4"/>
      </w:numPr>
      <w:adjustRightInd w:val="0"/>
      <w:snapToGrid w:val="0"/>
      <w:ind w:left="840" w:leftChars="200"/>
      <w:jc w:val="both"/>
    </w:pPr>
    <w:rPr>
      <w:rFonts w:ascii="微软雅黑" w:hAnsi="微软雅黑" w:eastAsia="微软雅黑" w:cs="Times New Roman"/>
      <w:sz w:val="21"/>
      <w:lang w:val="en-US" w:eastAsia="zh-CN" w:bidi="ar-SA"/>
    </w:rPr>
  </w:style>
  <w:style w:type="paragraph" w:customStyle="1" w:styleId="25">
    <w:name w:val="LC文字内容 空2格"/>
    <w:basedOn w:val="1"/>
    <w:qFormat/>
    <w:uiPriority w:val="0"/>
    <w:pPr>
      <w:ind w:firstLine="420"/>
    </w:pPr>
    <w:rPr>
      <w:rFonts w:ascii="微软雅黑" w:hAnsi="微软雅黑" w:eastAsia="微软雅黑" w:cs="Times New Roman"/>
    </w:rPr>
  </w:style>
  <w:style w:type="paragraph" w:customStyle="1" w:styleId="26">
    <w:name w:val="装箱单"/>
    <w:next w:val="1"/>
    <w:autoRedefine/>
    <w:qFormat/>
    <w:uiPriority w:val="0"/>
    <w:pPr>
      <w:adjustRightInd w:val="0"/>
      <w:snapToGrid w:val="0"/>
      <w:jc w:val="both"/>
    </w:pPr>
    <w:rPr>
      <w:rFonts w:ascii="微软雅黑" w:hAnsi="微软雅黑" w:eastAsia="微软雅黑" w:cs="Times New Roman"/>
      <w:sz w:val="24"/>
      <w:lang w:val="en-US" w:eastAsia="zh-CN" w:bidi="ar-SA"/>
    </w:rPr>
  </w:style>
  <w:style w:type="paragraph" w:customStyle="1" w:styleId="27">
    <w:name w:val="样式1"/>
    <w:basedOn w:val="1"/>
    <w:qFormat/>
    <w:uiPriority w:val="0"/>
    <w:pPr>
      <w:jc w:val="left"/>
    </w:pPr>
    <w:rPr>
      <w:rFonts w:eastAsia="仿宋_GB2312"/>
      <w:sz w:val="28"/>
    </w:rPr>
  </w:style>
  <w:style w:type="character" w:customStyle="1" w:styleId="28">
    <w:name w:val="批注框文本 Char"/>
    <w:basedOn w:val="16"/>
    <w:link w:val="10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650</Words>
  <Characters>924</Characters>
  <Lines>6</Lines>
  <Paragraphs>1</Paragraphs>
  <TotalTime>3</TotalTime>
  <ScaleCrop>false</ScaleCrop>
  <LinksUpToDate>false</LinksUpToDate>
  <CharactersWithSpaces>944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2026-04-07T08:01:00Z</dcterms:created>
  <dc:creator>华善</dc:creator>
  <cp:lastModifiedBy>华善</cp:lastModifiedBy>
  <dcterms:modified xsi:type="dcterms:W3CDTF">2026-04-07T09:05:50Z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85335AFE788A41D99ACACFF15D1E045A_13</vt:lpwstr>
  </property>
  <property fmtid="{D5CDD505-2E9C-101B-9397-08002B2CF9AE}" pid="4" name="KSOTemplateDocerSaveRecord">
    <vt:lpwstr>eyJoZGlkIjoiZDgzMDg3OTVkZTdkM2JjZjdhMzMwZmZjMzdmNTZjOTMiLCJ1c2VySWQiOiIxMDI2NDM2MzE2In0=</vt:lpwstr>
  </property>
</Properties>
</file>