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89682">
      <w:pPr>
        <w:numPr>
          <w:ilvl w:val="0"/>
          <w:numId w:val="0"/>
        </w:numPr>
        <w:jc w:val="center"/>
        <w:rPr>
          <w:rFonts w:hint="eastAsia" w:asciiTheme="minorHAnsi" w:hAnsiTheme="minorHAnsi" w:eastAsiaTheme="minorEastAsia" w:cstheme="minorBidi"/>
          <w:b/>
          <w:bCs/>
          <w:kern w:val="2"/>
          <w:sz w:val="32"/>
          <w:szCs w:val="32"/>
          <w:lang w:val="en-US" w:eastAsia="zh-CN" w:bidi="ar-SA"/>
        </w:rPr>
      </w:pPr>
      <w:r>
        <w:rPr>
          <w:rFonts w:hint="eastAsia" w:cstheme="minorBidi"/>
          <w:b/>
          <w:bCs/>
          <w:kern w:val="2"/>
          <w:sz w:val="32"/>
          <w:szCs w:val="32"/>
          <w:lang w:val="en-US" w:eastAsia="zh-CN" w:bidi="ar-SA"/>
        </w:rPr>
        <w:t>30</w:t>
      </w:r>
      <w:r>
        <w:rPr>
          <w:rFonts w:hint="eastAsia" w:asciiTheme="minorHAnsi" w:hAnsiTheme="minorHAnsi" w:eastAsiaTheme="minorEastAsia" w:cstheme="minorBidi"/>
          <w:b/>
          <w:bCs/>
          <w:kern w:val="2"/>
          <w:sz w:val="32"/>
          <w:szCs w:val="32"/>
          <w:lang w:val="en-US" w:eastAsia="zh-CN" w:bidi="ar-SA"/>
        </w:rPr>
        <w:t>、COD消解仪（12位单孔加热）</w:t>
      </w:r>
    </w:p>
    <w:p w14:paraId="498EC65F">
      <w:pPr>
        <w:spacing w:after="0" w:line="480" w:lineRule="auto"/>
        <w:rPr>
          <w:rFonts w:hint="eastAsia" w:ascii="宋体" w:hAnsi="宋体" w:eastAsia="宋体"/>
          <w:sz w:val="24"/>
          <w:szCs w:val="24"/>
        </w:rPr>
      </w:pPr>
      <w:r>
        <w:rPr>
          <w:rFonts w:hint="eastAsia" w:ascii="宋体" w:hAnsi="宋体" w:eastAsia="宋体"/>
          <w:sz w:val="24"/>
          <w:szCs w:val="24"/>
        </w:rPr>
        <w:t>1、操控模式：</w:t>
      </w:r>
    </w:p>
    <w:p w14:paraId="7A5E7F47">
      <w:pPr>
        <w:spacing w:after="0" w:line="480" w:lineRule="auto"/>
        <w:rPr>
          <w:rFonts w:hint="eastAsia" w:ascii="宋体" w:hAnsi="宋体" w:eastAsia="宋体"/>
          <w:sz w:val="24"/>
          <w:szCs w:val="24"/>
        </w:rPr>
      </w:pPr>
      <w:r>
        <w:rPr>
          <w:rFonts w:hint="eastAsia" w:ascii="宋体" w:hAnsi="宋体" w:eastAsia="宋体"/>
          <w:sz w:val="24"/>
          <w:szCs w:val="24"/>
        </w:rPr>
        <w:t>主机应设计采用不小于7寸液晶触摸屏操控模式便于实际操作，实时监测各消解单元设定参数，为防止酸碱液体腐蚀，触摸屏上方应设计有防溅盖设计（需提供实物图片验证）；</w:t>
      </w:r>
    </w:p>
    <w:p w14:paraId="78A35E0F">
      <w:pPr>
        <w:spacing w:after="0" w:line="480" w:lineRule="auto"/>
        <w:rPr>
          <w:rFonts w:hint="eastAsia" w:ascii="宋体" w:hAnsi="宋体" w:eastAsia="宋体"/>
          <w:sz w:val="24"/>
          <w:szCs w:val="24"/>
        </w:rPr>
      </w:pPr>
      <w:r>
        <w:rPr>
          <w:rFonts w:hint="eastAsia" w:ascii="宋体" w:hAnsi="宋体" w:eastAsia="宋体"/>
          <w:sz w:val="24"/>
          <w:szCs w:val="24"/>
        </w:rPr>
        <w:t>2、消解元件：</w:t>
      </w:r>
    </w:p>
    <w:p w14:paraId="03E87B9D">
      <w:pPr>
        <w:spacing w:after="0" w:line="480" w:lineRule="auto"/>
        <w:rPr>
          <w:rFonts w:hint="eastAsia" w:ascii="宋体" w:hAnsi="宋体" w:eastAsia="宋体"/>
          <w:sz w:val="24"/>
          <w:szCs w:val="24"/>
        </w:rPr>
      </w:pPr>
      <w:r>
        <w:rPr>
          <w:rFonts w:hint="eastAsia" w:ascii="宋体" w:hAnsi="宋体" w:eastAsia="宋体"/>
          <w:sz w:val="24"/>
          <w:szCs w:val="24"/>
        </w:rPr>
        <w:t>2.1为了更好地保证水样消解彻底，各消解单元应设计采用导热性强、保温效果好的石墨材质消解；</w:t>
      </w:r>
    </w:p>
    <w:p w14:paraId="643869A1">
      <w:pPr>
        <w:spacing w:after="0" w:line="480" w:lineRule="auto"/>
        <w:rPr>
          <w:rFonts w:hint="eastAsia" w:ascii="宋体" w:hAnsi="宋体" w:eastAsia="宋体"/>
          <w:sz w:val="24"/>
          <w:szCs w:val="24"/>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sz w:val="24"/>
          <w:szCs w:val="24"/>
        </w:rPr>
        <w:t>2.2  消解孔数量</w:t>
      </w:r>
      <w:r>
        <w:rPr>
          <w:rFonts w:hint="eastAsia" w:ascii="宋体" w:hAnsi="宋体" w:eastAsia="宋体"/>
          <w:sz w:val="24"/>
          <w:szCs w:val="24"/>
          <w:lang w:eastAsia="zh-CN"/>
        </w:rPr>
        <w:t>至少</w:t>
      </w:r>
      <w:r>
        <w:rPr>
          <w:rFonts w:hint="eastAsia" w:ascii="宋体" w:hAnsi="宋体" w:eastAsia="宋体"/>
          <w:sz w:val="24"/>
          <w:szCs w:val="24"/>
        </w:rPr>
        <w:t>12位；</w:t>
      </w:r>
    </w:p>
    <w:p w14:paraId="5D42965C">
      <w:pPr>
        <w:spacing w:after="0" w:line="480" w:lineRule="auto"/>
        <w:rPr>
          <w:rFonts w:hint="eastAsia" w:ascii="宋体" w:hAnsi="宋体" w:eastAsia="宋体"/>
          <w:sz w:val="24"/>
          <w:szCs w:val="24"/>
        </w:rPr>
      </w:pPr>
      <w:r>
        <w:rPr>
          <w:rFonts w:hint="eastAsia" w:ascii="宋体" w:hAnsi="宋体" w:eastAsia="宋体"/>
          <w:sz w:val="24"/>
          <w:szCs w:val="24"/>
        </w:rPr>
        <w:t>3、加热元件：</w:t>
      </w:r>
    </w:p>
    <w:p w14:paraId="4C86CDDC">
      <w:pPr>
        <w:spacing w:after="0" w:line="480" w:lineRule="auto"/>
        <w:rPr>
          <w:rFonts w:hint="eastAsia" w:ascii="宋体" w:hAnsi="宋体" w:eastAsia="宋体"/>
          <w:sz w:val="24"/>
          <w:szCs w:val="24"/>
        </w:rPr>
      </w:pPr>
      <w:r>
        <w:rPr>
          <w:rFonts w:hint="eastAsia" w:ascii="宋体" w:hAnsi="宋体" w:eastAsia="宋体"/>
          <w:sz w:val="24"/>
          <w:szCs w:val="24"/>
        </w:rPr>
        <w:t>3.1  各加热单元应设计采用一体化缠绕加热模式设计确保各加热孔受热均匀；</w:t>
      </w:r>
    </w:p>
    <w:p w14:paraId="33D9AD81">
      <w:pPr>
        <w:spacing w:after="0" w:line="480" w:lineRule="auto"/>
        <w:rPr>
          <w:rFonts w:hint="eastAsia" w:ascii="宋体" w:hAnsi="宋体" w:eastAsia="宋体"/>
          <w:sz w:val="24"/>
          <w:szCs w:val="24"/>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sz w:val="24"/>
          <w:szCs w:val="24"/>
        </w:rPr>
        <w:t>3.2  采用单孔加热技术，使样品受热均匀，不得采用整体加热模式；</w:t>
      </w:r>
    </w:p>
    <w:p w14:paraId="25E1378A">
      <w:pPr>
        <w:spacing w:after="0" w:line="480" w:lineRule="auto"/>
        <w:rPr>
          <w:rFonts w:hint="eastAsia" w:ascii="宋体" w:hAnsi="宋体" w:eastAsia="宋体"/>
          <w:sz w:val="24"/>
          <w:szCs w:val="24"/>
        </w:rPr>
      </w:pPr>
      <w:r>
        <w:rPr>
          <w:rFonts w:hint="eastAsia" w:ascii="宋体" w:hAnsi="宋体" w:eastAsia="宋体"/>
          <w:sz w:val="24"/>
          <w:szCs w:val="24"/>
        </w:rPr>
        <w:t>4、加热控制程序：</w:t>
      </w:r>
    </w:p>
    <w:p w14:paraId="2AACEAA2">
      <w:pPr>
        <w:spacing w:after="0" w:line="480" w:lineRule="auto"/>
        <w:rPr>
          <w:rFonts w:hint="eastAsia" w:ascii="宋体" w:hAnsi="宋体" w:eastAsia="宋体"/>
          <w:sz w:val="24"/>
          <w:szCs w:val="24"/>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sz w:val="24"/>
          <w:szCs w:val="24"/>
        </w:rPr>
        <w:t>4.1 加热程序应采用PID控温技术，温控范围：室温—200℃，控温精度：≤±1℃，孔间温度平行性：≤±2℃；</w:t>
      </w:r>
    </w:p>
    <w:p w14:paraId="0993A7AD">
      <w:pPr>
        <w:spacing w:after="0" w:line="480" w:lineRule="auto"/>
        <w:rPr>
          <w:rFonts w:hint="eastAsia" w:ascii="宋体" w:hAnsi="宋体" w:eastAsia="宋体"/>
          <w:sz w:val="24"/>
          <w:szCs w:val="24"/>
        </w:rPr>
      </w:pPr>
      <w:r>
        <w:rPr>
          <w:rFonts w:hint="eastAsia" w:ascii="宋体" w:hAnsi="宋体" w:eastAsia="宋体"/>
          <w:sz w:val="24"/>
          <w:szCs w:val="24"/>
        </w:rPr>
        <w:t>4.2 消解过程中，可实时监测1-12位各消解单元的加热温度（0-200℃)、倒计时回流时间(0-200min)；</w:t>
      </w:r>
    </w:p>
    <w:p w14:paraId="0598EDB3">
      <w:pPr>
        <w:spacing w:after="0" w:line="480" w:lineRule="auto"/>
        <w:rPr>
          <w:rFonts w:hint="eastAsia" w:ascii="宋体" w:hAnsi="宋体" w:eastAsia="宋体"/>
          <w:sz w:val="24"/>
          <w:szCs w:val="24"/>
        </w:rPr>
      </w:pPr>
      <w:r>
        <w:rPr>
          <w:rFonts w:hint="eastAsia" w:ascii="宋体" w:hAnsi="宋体" w:eastAsia="宋体"/>
          <w:sz w:val="24"/>
          <w:szCs w:val="24"/>
        </w:rPr>
        <w:t>4.3 消解过程可一键启动，自动完成消解过程（各消解孔自动达到设定消解温度，自动回流倒计时，自动停止），无需人工值守。</w:t>
      </w:r>
    </w:p>
    <w:p w14:paraId="4EBFC488">
      <w:pPr>
        <w:spacing w:after="0" w:line="480" w:lineRule="auto"/>
        <w:rPr>
          <w:rFonts w:hint="eastAsia" w:ascii="宋体" w:hAnsi="宋体" w:eastAsia="宋体"/>
          <w:sz w:val="24"/>
          <w:szCs w:val="24"/>
        </w:rPr>
      </w:pPr>
      <w:r>
        <w:rPr>
          <w:rFonts w:hint="eastAsia" w:ascii="宋体" w:hAnsi="宋体" w:eastAsia="宋体"/>
          <w:sz w:val="24"/>
          <w:szCs w:val="24"/>
        </w:rPr>
        <w:t xml:space="preserve">5、消解瓶设计： </w:t>
      </w:r>
    </w:p>
    <w:p w14:paraId="56E09606">
      <w:pPr>
        <w:spacing w:after="0" w:line="480" w:lineRule="auto"/>
        <w:rPr>
          <w:rFonts w:hint="eastAsia" w:ascii="宋体" w:hAnsi="宋体" w:eastAsia="宋体"/>
          <w:sz w:val="24"/>
          <w:szCs w:val="24"/>
        </w:rPr>
      </w:pPr>
      <w:r>
        <w:rPr>
          <w:rFonts w:hint="eastAsia" w:ascii="宋体" w:hAnsi="宋体" w:eastAsia="宋体"/>
          <w:sz w:val="24"/>
          <w:szCs w:val="24"/>
        </w:rPr>
        <w:t>消解瓶容积应≥300ml，消解结束可直接在瓶内滴定，无需移液；</w:t>
      </w:r>
    </w:p>
    <w:p w14:paraId="08194924">
      <w:pPr>
        <w:spacing w:after="0" w:line="480" w:lineRule="auto"/>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、产品规格技术要求：</w:t>
      </w:r>
    </w:p>
    <w:p w14:paraId="017F805F">
      <w:pPr>
        <w:spacing w:after="0" w:line="480" w:lineRule="auto"/>
        <w:rPr>
          <w:rFonts w:hint="eastAsia" w:ascii="宋体" w:hAnsi="宋体" w:eastAsia="宋体"/>
          <w:sz w:val="24"/>
          <w:szCs w:val="24"/>
        </w:rPr>
      </w:pPr>
      <w:r>
        <w:rPr>
          <w:rFonts w:hint="eastAsia" w:ascii="宋体" w:hAnsi="宋体" w:eastAsia="宋体"/>
          <w:sz w:val="24"/>
          <w:szCs w:val="24"/>
        </w:rPr>
        <w:t>时间控制：0-200min</w:t>
      </w:r>
    </w:p>
    <w:p w14:paraId="1CCA0127">
      <w:pPr>
        <w:spacing w:after="0" w:line="480" w:lineRule="auto"/>
        <w:rPr>
          <w:rFonts w:hint="eastAsia" w:ascii="宋体" w:hAnsi="宋体" w:eastAsia="宋体"/>
          <w:sz w:val="24"/>
          <w:szCs w:val="24"/>
        </w:rPr>
      </w:pPr>
      <w:r>
        <w:rPr>
          <w:rFonts w:hint="eastAsia" w:ascii="宋体" w:hAnsi="宋体" w:eastAsia="宋体"/>
          <w:sz w:val="24"/>
          <w:szCs w:val="24"/>
        </w:rPr>
        <w:t>温度控制：室温-200℃</w:t>
      </w:r>
    </w:p>
    <w:p w14:paraId="420AF072">
      <w:pPr>
        <w:spacing w:after="0" w:line="480" w:lineRule="auto"/>
        <w:rPr>
          <w:rFonts w:hint="eastAsia" w:ascii="宋体" w:hAnsi="宋体" w:eastAsia="宋体"/>
          <w:sz w:val="24"/>
          <w:szCs w:val="24"/>
        </w:rPr>
      </w:pPr>
      <w:r>
        <w:rPr>
          <w:rFonts w:hint="eastAsia" w:ascii="宋体" w:hAnsi="宋体" w:eastAsia="宋体"/>
          <w:sz w:val="24"/>
          <w:szCs w:val="24"/>
        </w:rPr>
        <w:t>升温时间：5-8min升温至设定温度</w:t>
      </w:r>
    </w:p>
    <w:p w14:paraId="0973FDA8">
      <w:pPr>
        <w:spacing w:after="0" w:line="480" w:lineRule="auto"/>
        <w:rPr>
          <w:rFonts w:hint="eastAsia" w:ascii="宋体" w:hAnsi="宋体" w:eastAsia="宋体"/>
          <w:sz w:val="24"/>
          <w:szCs w:val="24"/>
        </w:rPr>
      </w:pPr>
      <w:r>
        <w:rPr>
          <w:rFonts w:hint="eastAsia" w:ascii="宋体" w:hAnsi="宋体" w:eastAsia="宋体"/>
          <w:sz w:val="24"/>
          <w:szCs w:val="24"/>
        </w:rPr>
        <w:t>4、系统配置：</w:t>
      </w:r>
    </w:p>
    <w:p w14:paraId="662C17ED">
      <w:pPr>
        <w:spacing w:after="0" w:line="480" w:lineRule="auto"/>
        <w:rPr>
          <w:rFonts w:hint="eastAsia" w:ascii="宋体" w:hAnsi="宋体" w:eastAsia="宋体"/>
          <w:sz w:val="24"/>
          <w:szCs w:val="24"/>
        </w:rPr>
      </w:pPr>
      <w:r>
        <w:rPr>
          <w:rFonts w:hint="eastAsia" w:ascii="宋体" w:hAnsi="宋体" w:eastAsia="宋体"/>
          <w:sz w:val="24"/>
          <w:szCs w:val="24"/>
        </w:rPr>
        <w:t>主机一台，7寸液晶触摸屏（内嵌）一块、消解瓶12只，空气回流管12根，消解瓶支架一套，回流管支架一套、仪器操作说明书一份，产品保修单一份、合格证一份、装箱清单一份、保险管2只。</w:t>
      </w:r>
    </w:p>
    <w:p w14:paraId="3B39E75D">
      <w:pPr>
        <w:pageBreakBefore w:val="0"/>
        <w:widowControl w:val="0"/>
        <w:kinsoku/>
        <w:wordWrap/>
        <w:overflowPunct/>
        <w:topLinePunct w:val="0"/>
        <w:autoSpaceDE/>
        <w:autoSpaceDN/>
        <w:bidi w:val="0"/>
        <w:adjustRightInd/>
        <w:snapToGrid/>
        <w:spacing w:line="480" w:lineRule="exact"/>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技术服务及售后服务</w:t>
      </w:r>
    </w:p>
    <w:p w14:paraId="076BB8C8">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1、仪器装箱清单、质量合格证明文件、保修卡、使用说明和维护手册等技术文件齐全。</w:t>
      </w:r>
    </w:p>
    <w:p w14:paraId="30E4883A">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2、仪器制造商授权的技术人员现场安装调</w:t>
      </w:r>
      <w:r>
        <w:rPr>
          <w:rFonts w:hint="eastAsia" w:ascii="宋体" w:hAnsi="宋体" w:eastAsia="宋体" w:cs="宋体"/>
          <w:b w:val="0"/>
          <w:bCs w:val="0"/>
          <w:color w:val="auto"/>
          <w:sz w:val="24"/>
        </w:rPr>
        <w:t>试，</w:t>
      </w:r>
      <w:r>
        <w:rPr>
          <w:rFonts w:hint="eastAsia" w:ascii="宋体" w:hAnsi="宋体" w:eastAsia="宋体" w:cs="宋体"/>
          <w:b w:val="0"/>
          <w:bCs w:val="0"/>
          <w:color w:val="auto"/>
          <w:sz w:val="24"/>
          <w:lang w:eastAsia="zh-CN"/>
        </w:rPr>
        <w:t>并对操作人员进行培训</w:t>
      </w:r>
      <w:r>
        <w:rPr>
          <w:rFonts w:hint="eastAsia" w:ascii="宋体" w:hAnsi="宋体" w:eastAsia="宋体" w:cs="宋体"/>
          <w:b w:val="0"/>
          <w:bCs w:val="0"/>
          <w:color w:val="auto"/>
          <w:sz w:val="24"/>
          <w:lang w:val="en-US" w:eastAsia="zh-CN"/>
        </w:rPr>
        <w:t>后</w:t>
      </w:r>
      <w:r>
        <w:rPr>
          <w:rFonts w:hint="eastAsia" w:ascii="宋体" w:hAnsi="宋体" w:eastAsia="宋体" w:cs="宋体"/>
          <w:b w:val="0"/>
          <w:bCs w:val="0"/>
          <w:color w:val="auto"/>
          <w:sz w:val="24"/>
          <w:lang w:eastAsia="zh-CN"/>
        </w:rPr>
        <w:t>，</w:t>
      </w:r>
      <w:r>
        <w:rPr>
          <w:rFonts w:hint="eastAsia" w:ascii="宋体" w:hAnsi="宋体" w:eastAsia="宋体" w:cs="宋体"/>
          <w:b w:val="0"/>
          <w:bCs w:val="0"/>
          <w:sz w:val="24"/>
        </w:rPr>
        <w:t>用户方方可签字验收。</w:t>
      </w:r>
    </w:p>
    <w:p w14:paraId="19903A2B">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3、每类仪器报修和应用支持须在2h内响应，48h到现场解决问题。</w:t>
      </w:r>
    </w:p>
    <w:p w14:paraId="2DDE98A4">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4、质保期：整机质保期不少于</w:t>
      </w:r>
      <w:r>
        <w:rPr>
          <w:rFonts w:hint="eastAsia" w:ascii="宋体" w:hAnsi="宋体" w:eastAsia="宋体" w:cs="宋体"/>
          <w:b w:val="0"/>
          <w:bCs w:val="0"/>
          <w:sz w:val="24"/>
          <w:lang w:val="en-US" w:eastAsia="zh-CN"/>
        </w:rPr>
        <w:t>二</w:t>
      </w:r>
      <w:r>
        <w:rPr>
          <w:rFonts w:hint="eastAsia" w:ascii="宋体" w:hAnsi="宋体" w:eastAsia="宋体" w:cs="宋体"/>
          <w:b w:val="0"/>
          <w:bCs w:val="0"/>
          <w:sz w:val="24"/>
        </w:rPr>
        <w:t>年。在质保期内，供应商必须提供仪器制造商的故障检查、维修及维护等服务，所有服务及更换部件（耗材除外）全部免费。仪器制造商对仪器提供终身维修维护支</w:t>
      </w:r>
      <w:bookmarkStart w:id="0" w:name="_GoBack"/>
      <w:bookmarkEnd w:id="0"/>
      <w:r>
        <w:rPr>
          <w:rFonts w:hint="eastAsia" w:ascii="宋体" w:hAnsi="宋体" w:eastAsia="宋体" w:cs="宋体"/>
          <w:b w:val="0"/>
          <w:bCs w:val="0"/>
          <w:sz w:val="24"/>
        </w:rPr>
        <w:t>持，软件免费升级，并以优惠价提供配件耗材。</w:t>
      </w:r>
    </w:p>
    <w:p w14:paraId="250BB864">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5、现场培训：仪器制造商工程师在仪器安装、调试完成后对操作人员进行仪器基本操作和维护的免费培训，保证相关人员能独立上机进行基本操作和数据处理。如因人员变动，需要进行再次培训，应满足对采购人新增实验人员进行免费培训。</w:t>
      </w:r>
    </w:p>
    <w:p w14:paraId="41956021">
      <w:pPr>
        <w:rPr>
          <w:rFonts w:hint="eastAsia" w:cstheme="minorBidi"/>
          <w:b/>
          <w:bCs/>
          <w:kern w:val="2"/>
          <w:sz w:val="36"/>
          <w:szCs w:val="36"/>
          <w:lang w:val="en-US" w:eastAsia="zh-CN" w:bidi="ar-SA"/>
        </w:rPr>
      </w:pPr>
    </w:p>
    <w:p w14:paraId="20A64F55">
      <w:pPr>
        <w:rPr>
          <w:rFonts w:hint="default"/>
          <w:b/>
          <w:bCs/>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auto"/>
    <w:pitch w:val="default"/>
    <w:sig w:usb0="00000000" w:usb1="00000000" w:usb2="0000003F" w:usb3="00000000" w:csb0="603F01FF" w:csb1="FFFF0000"/>
  </w:font>
  <w:font w:name="FZHT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46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A4D2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A4D2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pStyle w:val="6"/>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1">
    <w:nsid w:val="CED906FC"/>
    <w:multiLevelType w:val="multilevel"/>
    <w:tmpl w:val="CED906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tabs>
          <w:tab w:val="left" w:pos="0"/>
        </w:tabs>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E0F540F"/>
    <w:multiLevelType w:val="multilevel"/>
    <w:tmpl w:val="3E0F540F"/>
    <w:lvl w:ilvl="0" w:tentative="0">
      <w:start w:val="1"/>
      <w:numFmt w:val="bullet"/>
      <w:pStyle w:val="23"/>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FZHTK--GBK1-0" w:hAnsi="FZHTK--GBK1-0"/>
      </w:rPr>
    </w:lvl>
    <w:lvl w:ilvl="2" w:tentative="0">
      <w:start w:val="1"/>
      <w:numFmt w:val="bullet"/>
      <w:lvlText w:val=""/>
      <w:lvlJc w:val="left"/>
      <w:pPr>
        <w:tabs>
          <w:tab w:val="left" w:pos="1260"/>
        </w:tabs>
        <w:ind w:left="1260" w:hanging="420"/>
      </w:pPr>
      <w:rPr>
        <w:rFonts w:hint="default" w:ascii="FZHTK--GBK1-0" w:hAnsi="FZHTK--GBK1-0"/>
      </w:rPr>
    </w:lvl>
    <w:lvl w:ilvl="3" w:tentative="0">
      <w:start w:val="1"/>
      <w:numFmt w:val="bullet"/>
      <w:lvlText w:val=""/>
      <w:lvlJc w:val="left"/>
      <w:pPr>
        <w:tabs>
          <w:tab w:val="left" w:pos="1680"/>
        </w:tabs>
        <w:ind w:left="1680" w:hanging="420"/>
      </w:pPr>
      <w:rPr>
        <w:rFonts w:hint="default" w:ascii="FZHTK--GBK1-0" w:hAnsi="FZHTK--GBK1-0"/>
      </w:rPr>
    </w:lvl>
    <w:lvl w:ilvl="4" w:tentative="0">
      <w:start w:val="1"/>
      <w:numFmt w:val="bullet"/>
      <w:lvlText w:val=""/>
      <w:lvlJc w:val="left"/>
      <w:pPr>
        <w:tabs>
          <w:tab w:val="left" w:pos="2100"/>
        </w:tabs>
        <w:ind w:left="2100" w:hanging="420"/>
      </w:pPr>
      <w:rPr>
        <w:rFonts w:hint="default" w:ascii="FZHTK--GBK1-0" w:hAnsi="FZHTK--GBK1-0"/>
      </w:rPr>
    </w:lvl>
    <w:lvl w:ilvl="5" w:tentative="0">
      <w:start w:val="1"/>
      <w:numFmt w:val="bullet"/>
      <w:lvlText w:val=""/>
      <w:lvlJc w:val="left"/>
      <w:pPr>
        <w:tabs>
          <w:tab w:val="left" w:pos="2520"/>
        </w:tabs>
        <w:ind w:left="2520" w:hanging="420"/>
      </w:pPr>
      <w:rPr>
        <w:rFonts w:hint="default" w:ascii="FZHTK--GBK1-0" w:hAnsi="FZHTK--GBK1-0"/>
      </w:rPr>
    </w:lvl>
    <w:lvl w:ilvl="6" w:tentative="0">
      <w:start w:val="1"/>
      <w:numFmt w:val="bullet"/>
      <w:lvlText w:val=""/>
      <w:lvlJc w:val="left"/>
      <w:pPr>
        <w:tabs>
          <w:tab w:val="left" w:pos="2940"/>
        </w:tabs>
        <w:ind w:left="2940" w:hanging="420"/>
      </w:pPr>
      <w:rPr>
        <w:rFonts w:hint="default" w:ascii="FZHTK--GBK1-0" w:hAnsi="FZHTK--GBK1-0"/>
      </w:rPr>
    </w:lvl>
    <w:lvl w:ilvl="7" w:tentative="0">
      <w:start w:val="1"/>
      <w:numFmt w:val="bullet"/>
      <w:lvlText w:val=""/>
      <w:lvlJc w:val="left"/>
      <w:pPr>
        <w:tabs>
          <w:tab w:val="left" w:pos="3360"/>
        </w:tabs>
        <w:ind w:left="3360" w:hanging="420"/>
      </w:pPr>
      <w:rPr>
        <w:rFonts w:hint="default" w:ascii="FZHTK--GBK1-0" w:hAnsi="FZHTK--GBK1-0"/>
      </w:rPr>
    </w:lvl>
    <w:lvl w:ilvl="8" w:tentative="0">
      <w:start w:val="1"/>
      <w:numFmt w:val="bullet"/>
      <w:lvlText w:val=""/>
      <w:lvlJc w:val="left"/>
      <w:pPr>
        <w:tabs>
          <w:tab w:val="left" w:pos="3780"/>
        </w:tabs>
        <w:ind w:left="3780" w:hanging="420"/>
      </w:pPr>
      <w:rPr>
        <w:rFonts w:hint="default" w:ascii="FZHTK--GBK1-0" w:hAnsi="FZHTK--GBK1-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A1A20"/>
    <w:rsid w:val="004E6E8D"/>
    <w:rsid w:val="03312448"/>
    <w:rsid w:val="03736735"/>
    <w:rsid w:val="0522647B"/>
    <w:rsid w:val="07AF6AAA"/>
    <w:rsid w:val="085B1141"/>
    <w:rsid w:val="132135EE"/>
    <w:rsid w:val="1F603109"/>
    <w:rsid w:val="21FA2A4D"/>
    <w:rsid w:val="23181B9F"/>
    <w:rsid w:val="235D2694"/>
    <w:rsid w:val="29534D26"/>
    <w:rsid w:val="31B04D12"/>
    <w:rsid w:val="32B32576"/>
    <w:rsid w:val="36393E81"/>
    <w:rsid w:val="388A594F"/>
    <w:rsid w:val="3AEC2F3B"/>
    <w:rsid w:val="3D2959BD"/>
    <w:rsid w:val="3D3D4FC4"/>
    <w:rsid w:val="3E9A1FA2"/>
    <w:rsid w:val="422A1A20"/>
    <w:rsid w:val="47AC5D7A"/>
    <w:rsid w:val="4AFC3310"/>
    <w:rsid w:val="4CE51F37"/>
    <w:rsid w:val="4ED54C66"/>
    <w:rsid w:val="55A64F94"/>
    <w:rsid w:val="5AC94301"/>
    <w:rsid w:val="60150D5F"/>
    <w:rsid w:val="67C718D1"/>
    <w:rsid w:val="684F2AAF"/>
    <w:rsid w:val="69AF3970"/>
    <w:rsid w:val="6C9611B5"/>
    <w:rsid w:val="6D503E66"/>
    <w:rsid w:val="6F732867"/>
    <w:rsid w:val="701B1D7B"/>
    <w:rsid w:val="73E55634"/>
    <w:rsid w:val="794D1059"/>
    <w:rsid w:val="79D06969"/>
    <w:rsid w:val="7B203D0C"/>
    <w:rsid w:val="7F7A5A9C"/>
    <w:rsid w:val="7F80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4">
    <w:name w:val="heading 2"/>
    <w:basedOn w:val="1"/>
    <w:next w:val="1"/>
    <w:unhideWhenUsed/>
    <w:qFormat/>
    <w:uiPriority w:val="9"/>
    <w:pPr>
      <w:keepNext/>
      <w:keepLines/>
      <w:spacing w:before="260" w:after="260" w:line="416" w:lineRule="auto"/>
      <w:jc w:val="center"/>
      <w:outlineLvl w:val="1"/>
    </w:pPr>
    <w:rPr>
      <w:rFonts w:ascii="微软雅黑" w:hAnsi="微软雅黑" w:eastAsia="微软雅黑" w:cs="Times New Roman"/>
      <w:b/>
      <w:bCs/>
      <w:sz w:val="32"/>
      <w:szCs w:val="32"/>
    </w:rPr>
  </w:style>
  <w:style w:type="paragraph" w:styleId="5">
    <w:name w:val="heading 3"/>
    <w:basedOn w:val="1"/>
    <w:next w:val="2"/>
    <w:link w:val="18"/>
    <w:unhideWhenUsed/>
    <w:qFormat/>
    <w:uiPriority w:val="9"/>
    <w:pPr>
      <w:numPr>
        <w:ilvl w:val="2"/>
        <w:numId w:val="1"/>
      </w:numPr>
      <w:tabs>
        <w:tab w:val="left" w:pos="312"/>
        <w:tab w:val="clear" w:pos="0"/>
      </w:tabs>
      <w:adjustRightInd w:val="0"/>
      <w:snapToGrid w:val="0"/>
      <w:spacing w:before="100" w:beforeLines="100" w:after="50" w:afterLines="50" w:line="288" w:lineRule="auto"/>
      <w:ind w:left="0" w:firstLine="0"/>
      <w:outlineLvl w:val="2"/>
    </w:pPr>
    <w:rPr>
      <w:rFonts w:ascii="黑体" w:hAnsi="黑体" w:eastAsia="黑体"/>
      <w:b/>
      <w:bCs/>
      <w:sz w:val="30"/>
      <w:szCs w:val="30"/>
    </w:rPr>
  </w:style>
  <w:style w:type="paragraph" w:styleId="6">
    <w:name w:val="heading 4"/>
    <w:next w:val="2"/>
    <w:unhideWhenUsed/>
    <w:qFormat/>
    <w:uiPriority w:val="9"/>
    <w:pPr>
      <w:numPr>
        <w:ilvl w:val="3"/>
        <w:numId w:val="2"/>
      </w:num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ind w:left="103"/>
      <w:jc w:val="left"/>
    </w:pPr>
    <w:rPr>
      <w:rFonts w:ascii="宋体" w:hAnsi="宋体"/>
      <w:kern w:val="0"/>
      <w:sz w:val="30"/>
      <w:szCs w:val="30"/>
    </w:rPr>
  </w:style>
  <w:style w:type="paragraph" w:styleId="8">
    <w:name w:val="Body Text Indent"/>
    <w:basedOn w:val="1"/>
    <w:qFormat/>
    <w:uiPriority w:val="0"/>
    <w:pPr>
      <w:spacing w:after="120"/>
      <w:ind w:left="420" w:leftChars="200"/>
    </w:pPr>
  </w:style>
  <w:style w:type="paragraph" w:styleId="9">
    <w:name w:val="Plain Text"/>
    <w:basedOn w:val="1"/>
    <w:qFormat/>
    <w:uiPriority w:val="0"/>
    <w:pPr>
      <w:spacing w:after="0" w:line="240" w:lineRule="auto"/>
      <w:jc w:val="both"/>
    </w:pPr>
    <w:rPr>
      <w:rFonts w:ascii="宋体" w:hAnsi="Courier New" w:cs="Courier New"/>
      <w:sz w:val="21"/>
      <w:szCs w:val="21"/>
      <w14:ligatures w14:val="none"/>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8"/>
    <w:qFormat/>
    <w:uiPriority w:val="0"/>
    <w:pPr>
      <w:ind w:left="0" w:leftChars="0" w:firstLine="42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firstLine="420" w:firstLineChars="200"/>
    </w:pPr>
  </w:style>
  <w:style w:type="paragraph" w:customStyle="1" w:styleId="17">
    <w:name w:val="产品手册——表"/>
    <w:qFormat/>
    <w:uiPriority w:val="0"/>
    <w:pPr>
      <w:adjustRightInd w:val="0"/>
      <w:snapToGrid w:val="0"/>
      <w:spacing w:before="20" w:beforeLines="20" w:after="20" w:afterLines="20"/>
      <w:jc w:val="center"/>
    </w:pPr>
    <w:rPr>
      <w:rFonts w:ascii="Microsoft JhengHei" w:hAnsi="Microsoft JhengHei" w:eastAsia="Microsoft JhengHei" w:cs="Times New Roman"/>
      <w:sz w:val="21"/>
      <w:szCs w:val="22"/>
      <w:lang w:val="en-US" w:eastAsia="zh-CN" w:bidi="ar-SA"/>
    </w:rPr>
  </w:style>
  <w:style w:type="character" w:customStyle="1" w:styleId="18">
    <w:name w:val="标题 3 Char"/>
    <w:link w:val="5"/>
    <w:qFormat/>
    <w:uiPriority w:val="9"/>
    <w:rPr>
      <w:rFonts w:ascii="黑体" w:hAnsi="黑体" w:eastAsia="黑体"/>
      <w:b/>
      <w:bCs/>
      <w:sz w:val="30"/>
      <w:szCs w:val="30"/>
    </w:rPr>
  </w:style>
  <w:style w:type="character" w:customStyle="1" w:styleId="19">
    <w:name w:val="font11"/>
    <w:basedOn w:val="15"/>
    <w:qFormat/>
    <w:uiPriority w:val="0"/>
    <w:rPr>
      <w:rFonts w:hint="eastAsia" w:ascii="宋体" w:hAnsi="宋体" w:eastAsia="宋体" w:cs="宋体"/>
      <w:color w:val="000000"/>
      <w:sz w:val="21"/>
      <w:szCs w:val="21"/>
      <w:u w:val="none"/>
    </w:rPr>
  </w:style>
  <w:style w:type="character" w:customStyle="1" w:styleId="20">
    <w:name w:val="font21"/>
    <w:basedOn w:val="15"/>
    <w:qFormat/>
    <w:uiPriority w:val="0"/>
    <w:rPr>
      <w:rFonts w:hint="default" w:ascii="Calibri" w:hAnsi="Calibri" w:cs="Calibri"/>
      <w:color w:val="000000"/>
      <w:sz w:val="21"/>
      <w:szCs w:val="21"/>
      <w:u w:val="none"/>
    </w:rPr>
  </w:style>
  <w:style w:type="character" w:customStyle="1" w:styleId="21">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22">
    <w:name w:val="LC主要特点"/>
    <w:basedOn w:val="1"/>
    <w:qFormat/>
    <w:uiPriority w:val="0"/>
    <w:pPr>
      <w:outlineLvl w:val="3"/>
    </w:pPr>
    <w:rPr>
      <w:rFonts w:ascii="Arial Unicode MS" w:hAnsi="Arial Unicode MS" w:eastAsia="微软雅黑"/>
      <w:b/>
    </w:rPr>
  </w:style>
  <w:style w:type="paragraph" w:customStyle="1" w:styleId="23">
    <w:name w:val="LC 文字内容 带符号编码"/>
    <w:next w:val="1"/>
    <w:qFormat/>
    <w:uiPriority w:val="0"/>
    <w:pPr>
      <w:numPr>
        <w:ilvl w:val="0"/>
        <w:numId w:val="3"/>
      </w:numPr>
      <w:adjustRightInd w:val="0"/>
      <w:snapToGrid w:val="0"/>
      <w:spacing w:before="0" w:beforeLines="0" w:after="0" w:afterLines="0"/>
      <w:ind w:left="840" w:leftChars="200"/>
      <w:jc w:val="both"/>
      <w:outlineLvl w:val="9"/>
    </w:pPr>
    <w:rPr>
      <w:rFonts w:ascii="微软雅黑" w:hAnsi="微软雅黑" w:eastAsia="微软雅黑" w:cs="Times New Roman"/>
      <w:sz w:val="21"/>
      <w:lang w:val="en-US" w:eastAsia="zh-CN" w:bidi="ar-SA"/>
    </w:rPr>
  </w:style>
  <w:style w:type="paragraph" w:customStyle="1" w:styleId="24">
    <w:name w:val="LC文字内容 空2格"/>
    <w:basedOn w:val="1"/>
    <w:qFormat/>
    <w:uiPriority w:val="0"/>
    <w:pPr>
      <w:numPr>
        <w:ilvl w:val="0"/>
        <w:numId w:val="0"/>
      </w:numPr>
      <w:spacing w:beforeLines="0" w:afterLines="0" w:line="240" w:lineRule="auto"/>
      <w:ind w:left="0" w:leftChars="0" w:firstLine="420"/>
      <w:outlineLvl w:val="9"/>
    </w:pPr>
    <w:rPr>
      <w:rFonts w:ascii="微软雅黑" w:hAnsi="微软雅黑" w:eastAsia="微软雅黑" w:cs="Times New Roman"/>
    </w:rPr>
  </w:style>
  <w:style w:type="paragraph" w:customStyle="1" w:styleId="25">
    <w:name w:val="装箱单"/>
    <w:next w:val="1"/>
    <w:autoRedefine/>
    <w:qFormat/>
    <w:uiPriority w:val="0"/>
    <w:pPr>
      <w:adjustRightInd w:val="0"/>
      <w:snapToGrid w:val="0"/>
      <w:jc w:val="both"/>
    </w:pPr>
    <w:rPr>
      <w:rFonts w:ascii="微软雅黑" w:hAnsi="微软雅黑" w:eastAsia="微软雅黑"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902</Words>
  <Characters>976</Characters>
  <Lines>0</Lines>
  <Paragraphs>0</Paragraphs>
  <TotalTime>0</TotalTime>
  <ScaleCrop>false</ScaleCrop>
  <LinksUpToDate>false</LinksUpToDate>
  <CharactersWithSpaces>986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2026-04-02T02:22:00Z</dcterms:created>
  <dc:creator>华善</dc:creator>
  <cp:lastModifiedBy>华善</cp:lastModifiedBy>
  <dcterms:modified xsi:type="dcterms:W3CDTF">2026-04-10T04:01:11Z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468E5BEE66964E1998032EF5F52D83D0_13</vt:lpwstr>
  </property>
  <property fmtid="{D5CDD505-2E9C-101B-9397-08002B2CF9AE}" pid="4" name="KSOTemplateDocerSaveRecord">
    <vt:lpwstr>eyJoZGlkIjoiZDgzMDg3OTVkZTdkM2JjZjdhMzMwZmZjMzdmNTZjOTMiLCJ1c2VySWQiOiIxMDI2NDM2MzE2In0=</vt:lpwstr>
  </property>
</Properties>
</file>