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89682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33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、氟化物离子计</w:t>
      </w:r>
    </w:p>
    <w:bookmarkEnd w:id="0"/>
    <w:p w14:paraId="2515B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主机配置及配件</w:t>
      </w:r>
    </w:p>
    <w:p w14:paraId="76ECE13F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outlineLvl w:val="3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2"/>
          <w:szCs w:val="22"/>
          <w:highlight w:val="none"/>
          <w:lang w:val="en-US" w:eastAsia="zh-CN"/>
        </w:rPr>
        <w:t>（采购数量按招标清单为准，这里只表示每台采购设备应配置的备件或耗材数量）</w:t>
      </w:r>
    </w:p>
    <w:tbl>
      <w:tblPr>
        <w:tblStyle w:val="1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538"/>
        <w:gridCol w:w="2086"/>
        <w:gridCol w:w="1991"/>
      </w:tblGrid>
      <w:tr w14:paraId="295F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6" w:type="dxa"/>
            <w:noWrap w:val="0"/>
            <w:vAlign w:val="center"/>
          </w:tcPr>
          <w:p w14:paraId="130F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  <w:noWrap w:val="0"/>
            <w:vAlign w:val="center"/>
          </w:tcPr>
          <w:p w14:paraId="600D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086" w:type="dxa"/>
            <w:noWrap w:val="0"/>
            <w:vAlign w:val="center"/>
          </w:tcPr>
          <w:p w14:paraId="6930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1991" w:type="dxa"/>
            <w:noWrap w:val="0"/>
            <w:vAlign w:val="center"/>
          </w:tcPr>
          <w:p w14:paraId="28EB6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数量（台/套）</w:t>
            </w:r>
          </w:p>
        </w:tc>
      </w:tr>
      <w:tr w14:paraId="023F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06" w:type="dxa"/>
            <w:noWrap w:val="0"/>
            <w:vAlign w:val="center"/>
          </w:tcPr>
          <w:p w14:paraId="19B06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主机</w:t>
            </w:r>
          </w:p>
        </w:tc>
        <w:tc>
          <w:tcPr>
            <w:tcW w:w="3538" w:type="dxa"/>
            <w:noWrap w:val="0"/>
            <w:vAlign w:val="center"/>
          </w:tcPr>
          <w:p w14:paraId="0077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氟化物离子计</w:t>
            </w:r>
          </w:p>
        </w:tc>
        <w:tc>
          <w:tcPr>
            <w:tcW w:w="2086" w:type="dxa"/>
            <w:noWrap w:val="0"/>
            <w:vAlign w:val="center"/>
          </w:tcPr>
          <w:p w14:paraId="06CA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含便携式户外箱</w:t>
            </w:r>
          </w:p>
        </w:tc>
        <w:tc>
          <w:tcPr>
            <w:tcW w:w="1991" w:type="dxa"/>
            <w:noWrap w:val="0"/>
            <w:vAlign w:val="center"/>
          </w:tcPr>
          <w:p w14:paraId="660F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4964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restart"/>
            <w:noWrap w:val="0"/>
            <w:vAlign w:val="center"/>
          </w:tcPr>
          <w:p w14:paraId="664D3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配件</w:t>
            </w:r>
          </w:p>
        </w:tc>
        <w:tc>
          <w:tcPr>
            <w:tcW w:w="3538" w:type="dxa"/>
            <w:noWrap w:val="0"/>
            <w:vAlign w:val="center"/>
          </w:tcPr>
          <w:p w14:paraId="2288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086" w:type="dxa"/>
            <w:noWrap w:val="0"/>
            <w:vAlign w:val="center"/>
          </w:tcPr>
          <w:p w14:paraId="43525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1" w:type="dxa"/>
            <w:noWrap w:val="0"/>
            <w:vAlign w:val="center"/>
          </w:tcPr>
          <w:p w14:paraId="12C8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2273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 w14:paraId="5DF3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0ECB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搅拌器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19CA3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 w14:paraId="4860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1台</w:t>
            </w:r>
          </w:p>
        </w:tc>
      </w:tr>
      <w:tr w14:paraId="32D3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 w14:paraId="0450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181F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氟离子电极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47E7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 w14:paraId="1A8B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1支</w:t>
            </w:r>
          </w:p>
        </w:tc>
      </w:tr>
      <w:tr w14:paraId="3085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 w14:paraId="3410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75EE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参比电极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4961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 w14:paraId="6DD22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1支</w:t>
            </w:r>
          </w:p>
        </w:tc>
      </w:tr>
      <w:tr w14:paraId="7FFC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 w14:paraId="54F7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0D42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温度电极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34D03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 w14:paraId="1464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1支</w:t>
            </w:r>
          </w:p>
        </w:tc>
      </w:tr>
      <w:tr w14:paraId="2251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 w14:paraId="76A5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6FA54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多功能电极架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78BF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 w14:paraId="1829F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1套</w:t>
            </w:r>
          </w:p>
        </w:tc>
      </w:tr>
      <w:tr w14:paraId="36E5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 w14:paraId="5F21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6369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电源适配器DC 9V(内正外负)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5F4D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 w14:paraId="724AB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1个</w:t>
            </w:r>
          </w:p>
        </w:tc>
      </w:tr>
      <w:tr w14:paraId="51C1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 w14:paraId="2087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4C97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通用USB连接线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11E6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 w14:paraId="7AA0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1根</w:t>
            </w:r>
          </w:p>
        </w:tc>
      </w:tr>
      <w:tr w14:paraId="5E38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 w14:paraId="19DA9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053A3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防尘罩(按键款)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29BC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 w14:paraId="0328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1只</w:t>
            </w:r>
          </w:p>
        </w:tc>
      </w:tr>
    </w:tbl>
    <w:p w14:paraId="08281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设备功能及要求</w:t>
      </w:r>
    </w:p>
    <w:p w14:paraId="201D7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firstLine="480" w:firstLineChars="200"/>
        <w:textAlignment w:val="auto"/>
        <w:rPr>
          <w:rFonts w:hint="eastAsia" w:ascii="仿宋" w:hAnsi="仿宋" w:cs="仿宋" w:eastAsiaTheme="minorEastAsia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用于地表水、地下水及工业废水（如化工、电镀、电子半导体、冶金等行业）的氟污染评估和排放监控，可以测量电位值、pH值、pX值、ORP值、离子浓度值和温度值。</w:t>
      </w:r>
    </w:p>
    <w:p w14:paraId="07DC903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-SA"/>
        </w:rPr>
        <w:t>3.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技术参数</w:t>
      </w:r>
    </w:p>
    <w:p w14:paraId="3E2AF32B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采用彩色高清液晶屏幕，显示清晰</w:t>
      </w:r>
    </w:p>
    <w:p w14:paraId="7095FF19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三种分辨率可选：pX支持0.001pX、0.01pX和0.1pX，mV支持0.01mV、0.1 mV和1mV</w:t>
      </w:r>
    </w:p>
    <w:p w14:paraId="616BFEB1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温度单位可选：℃ 和 °F。</w:t>
      </w:r>
    </w:p>
    <w:p w14:paraId="0E4DE6C4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3.4.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支持开机自诊断、自动关机、断电保护和恢复出厂设置等功能</w:t>
      </w:r>
    </w:p>
    <w:p w14:paraId="12B2F0DC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3.5.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支持固件升级功能，允许功能扩展和个性化要求</w:t>
      </w:r>
    </w:p>
    <w:p w14:paraId="455BBB94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3.6.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支持IP54防护等级</w:t>
      </w:r>
    </w:p>
    <w:p w14:paraId="5A32B203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3.7.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标配搅拌器、氟离子电极、参比电极、温度电极，电极支架、防尘罩。</w:t>
      </w:r>
    </w:p>
    <w:p w14:paraId="20E14FA4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3.8.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智能判别终点，支持自动读数、定时读数、定时间隔读数、手动读数</w:t>
      </w:r>
    </w:p>
    <w:p w14:paraId="64ACF2A0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3.9.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支持自动/手动温度补偿</w:t>
      </w:r>
    </w:p>
    <w:p w14:paraId="5F9D0780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3.10.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支持1-5点pH电极标定</w:t>
      </w:r>
    </w:p>
    <w:p w14:paraId="436A1666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3.11.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自动识别GB、DIN、NIST、USA等4组标准缓冲溶液，支持标液组管理，支持自定义pH缓冲溶液和标液组</w:t>
      </w:r>
    </w:p>
    <w:p w14:paraId="610C0301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3.12.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内置Na+、K+、NH4+、Cl-、F-等多种离子模式，允许用户自建</w:t>
      </w:r>
    </w:p>
    <w:p w14:paraId="2B356236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3.13.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μg/L、mg/L、g/L、mol/L、mmol/L、PX多种离子浓度单位快速切换</w:t>
      </w:r>
    </w:p>
    <w:p w14:paraId="0622E3F1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3.14.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测量模式：直读浓度法测量、标准添加法测量、样品添加法测量、GRAN法测量</w:t>
      </w:r>
    </w:p>
    <w:p w14:paraId="1EA2705C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3.15.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支持数据存储（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500套）、查阅、删除、传输和打印</w:t>
      </w:r>
    </w:p>
    <w:p w14:paraId="54FC5567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3.16.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符合GLP，实现数据追溯</w:t>
      </w:r>
    </w:p>
    <w:p w14:paraId="2ED56358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3.17.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具有RS-232接口，支持连接标准RS-232串口打印机，直接打印测量结果，打印格式可选</w:t>
      </w:r>
    </w:p>
    <w:p w14:paraId="64B4C109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3.18.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具有USB接口，通过专用通信软件与PC连接，实现数据传输</w:t>
      </w:r>
    </w:p>
    <w:p w14:paraId="3CAD4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58B1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分析项目指标</w:t>
      </w:r>
    </w:p>
    <w:p w14:paraId="39D49F20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4.1.</w:t>
      </w:r>
      <w:r>
        <w:rPr>
          <w:rFonts w:hint="eastAsia" w:ascii="仿宋" w:hAnsi="仿宋" w:eastAsia="仿宋" w:cs="仿宋"/>
          <w:sz w:val="24"/>
          <w:szCs w:val="24"/>
        </w:rPr>
        <w:t>测量参数电位值、pH值、pX值、ORP值、离子浓度值和温度值</w:t>
      </w:r>
    </w:p>
    <w:p w14:paraId="225205E8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4.2.</w:t>
      </w:r>
      <w:r>
        <w:rPr>
          <w:rFonts w:hint="eastAsia" w:ascii="仿宋" w:hAnsi="仿宋" w:eastAsia="仿宋" w:cs="仿宋"/>
          <w:sz w:val="24"/>
          <w:szCs w:val="24"/>
        </w:rPr>
        <w:t>mV：</w:t>
      </w:r>
    </w:p>
    <w:p w14:paraId="571AF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范围：(-2000.00～2000.00)mV</w:t>
      </w:r>
    </w:p>
    <w:p w14:paraId="59DC1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最小分辨率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0.01 mV</w:t>
      </w:r>
    </w:p>
    <w:p w14:paraId="1D01F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电子单元示值误差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±0.03%或±0.1 mV</w:t>
      </w:r>
    </w:p>
    <w:p w14:paraId="2ACAD1A1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4.3.</w:t>
      </w:r>
      <w:r>
        <w:rPr>
          <w:rFonts w:hint="eastAsia" w:ascii="仿宋" w:hAnsi="仿宋" w:eastAsia="仿宋" w:cs="仿宋"/>
          <w:sz w:val="24"/>
          <w:szCs w:val="24"/>
        </w:rPr>
        <w:t>pH：</w:t>
      </w:r>
    </w:p>
    <w:p w14:paraId="4526F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范围：(-2.000～20.000)pH</w:t>
      </w:r>
    </w:p>
    <w:p w14:paraId="33997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最小分辨率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0.001 pH</w:t>
      </w:r>
    </w:p>
    <w:p w14:paraId="259FF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电子单元示值误差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±0.002pH</w:t>
      </w:r>
    </w:p>
    <w:p w14:paraId="4E2C867E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4.4.</w:t>
      </w:r>
      <w:r>
        <w:rPr>
          <w:rFonts w:hint="eastAsia" w:ascii="仿宋" w:hAnsi="仿宋" w:eastAsia="仿宋" w:cs="仿宋"/>
          <w:sz w:val="24"/>
          <w:szCs w:val="24"/>
        </w:rPr>
        <w:t>pX：</w:t>
      </w:r>
    </w:p>
    <w:p w14:paraId="6E202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范围：(-2.000～20.000)pX</w:t>
      </w:r>
    </w:p>
    <w:p w14:paraId="47D32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最小分辨率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0.001 pX</w:t>
      </w:r>
    </w:p>
    <w:p w14:paraId="71943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电子单元示值误差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±0.002 pX</w:t>
      </w:r>
    </w:p>
    <w:p w14:paraId="058A0E64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4.5.</w:t>
      </w:r>
      <w:r>
        <w:rPr>
          <w:rFonts w:hint="eastAsia" w:ascii="仿宋" w:hAnsi="仿宋" w:eastAsia="仿宋" w:cs="仿宋"/>
          <w:sz w:val="24"/>
          <w:szCs w:val="24"/>
        </w:rPr>
        <w:t>离子浓度：</w:t>
      </w:r>
    </w:p>
    <w:p w14:paraId="581BD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范围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(0～19990)，Unit: mol/L, mmol/L, g/L, mg/L, μg/L</w:t>
      </w:r>
    </w:p>
    <w:p w14:paraId="3FB44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最小分辨率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4位有效数字</w:t>
      </w:r>
    </w:p>
    <w:p w14:paraId="0BD2B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电子单元示值误差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±0.3%</w:t>
      </w:r>
    </w:p>
    <w:p w14:paraId="1D3A982C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line="288" w:lineRule="auto"/>
        <w:ind w:left="567" w:leftChars="0" w:hanging="567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4.6.</w:t>
      </w:r>
      <w:r>
        <w:rPr>
          <w:rFonts w:hint="eastAsia" w:ascii="仿宋" w:hAnsi="仿宋" w:eastAsia="仿宋" w:cs="仿宋"/>
          <w:sz w:val="24"/>
          <w:szCs w:val="24"/>
        </w:rPr>
        <w:t>温度：</w:t>
      </w:r>
    </w:p>
    <w:p w14:paraId="6F36B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范围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(-10.0～135.0)℃/(14-275)℉</w:t>
      </w:r>
    </w:p>
    <w:p w14:paraId="2FA42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最小分辨率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0.1 ℃/0.1℉</w:t>
      </w:r>
    </w:p>
    <w:p w14:paraId="350B6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电子单元示值误差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±0.1 ℃/±0.18℉</w:t>
      </w:r>
    </w:p>
    <w:p w14:paraId="0C0DBF24">
      <w:pPr>
        <w:rPr>
          <w:rFonts w:hint="default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07402"/>
    <w:multiLevelType w:val="multilevel"/>
    <w:tmpl w:val="A6D0740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default" w:ascii="黑体" w:hAnsi="黑体" w:eastAsia="黑体"/>
        <w:color w:val="auto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1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143E589D"/>
    <w:multiLevelType w:val="multilevel"/>
    <w:tmpl w:val="143E589D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3E0F540F"/>
    <w:multiLevelType w:val="multilevel"/>
    <w:tmpl w:val="3E0F540F"/>
    <w:lvl w:ilvl="0" w:tentative="0">
      <w:start w:val="1"/>
      <w:numFmt w:val="bullet"/>
      <w:pStyle w:val="23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FZHTK--GBK1-0" w:hAnsi="FZHTK--GBK1-0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FZHTK--GBK1-0" w:hAnsi="FZHTK--GBK1-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FZHTK--GBK1-0" w:hAnsi="FZHTK--GBK1-0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FZHTK--GBK1-0" w:hAnsi="FZHTK--GBK1-0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FZHTK--GBK1-0" w:hAnsi="FZHTK--GBK1-0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FZHTK--GBK1-0" w:hAnsi="FZHTK--GBK1-0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FZHTK--GBK1-0" w:hAnsi="FZHTK--GBK1-0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FZHTK--GBK1-0" w:hAnsi="FZHTK--GBK1-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04E6E8D"/>
    <w:rsid w:val="03312448"/>
    <w:rsid w:val="03736735"/>
    <w:rsid w:val="0522647B"/>
    <w:rsid w:val="07AF6AAA"/>
    <w:rsid w:val="085B1141"/>
    <w:rsid w:val="11B95320"/>
    <w:rsid w:val="132135EE"/>
    <w:rsid w:val="1F603109"/>
    <w:rsid w:val="21FA2A4D"/>
    <w:rsid w:val="23181B9F"/>
    <w:rsid w:val="235D2694"/>
    <w:rsid w:val="31B04D12"/>
    <w:rsid w:val="36393E81"/>
    <w:rsid w:val="388A594F"/>
    <w:rsid w:val="395D152B"/>
    <w:rsid w:val="3A3D4E43"/>
    <w:rsid w:val="3AEC2F3B"/>
    <w:rsid w:val="3D2959BD"/>
    <w:rsid w:val="3D3D4FC4"/>
    <w:rsid w:val="3E9A1FA2"/>
    <w:rsid w:val="422A1A20"/>
    <w:rsid w:val="4AFC3310"/>
    <w:rsid w:val="4CE51F37"/>
    <w:rsid w:val="4ED54C66"/>
    <w:rsid w:val="55A64F94"/>
    <w:rsid w:val="5AC94301"/>
    <w:rsid w:val="60150D5F"/>
    <w:rsid w:val="67C718D1"/>
    <w:rsid w:val="684F2AAF"/>
    <w:rsid w:val="69AF3970"/>
    <w:rsid w:val="6C9611B5"/>
    <w:rsid w:val="6D503E66"/>
    <w:rsid w:val="6F732867"/>
    <w:rsid w:val="701B1D7B"/>
    <w:rsid w:val="73E55634"/>
    <w:rsid w:val="78B33C13"/>
    <w:rsid w:val="794D1059"/>
    <w:rsid w:val="79D06969"/>
    <w:rsid w:val="7B203D0C"/>
    <w:rsid w:val="7F7A5A9C"/>
    <w:rsid w:val="7F80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="Times New Roman"/>
      <w:b/>
      <w:bCs/>
      <w:sz w:val="32"/>
      <w:szCs w:val="32"/>
    </w:rPr>
  </w:style>
  <w:style w:type="paragraph" w:styleId="4">
    <w:name w:val="heading 3"/>
    <w:basedOn w:val="1"/>
    <w:next w:val="5"/>
    <w:link w:val="18"/>
    <w:unhideWhenUsed/>
    <w:qFormat/>
    <w:uiPriority w:val="9"/>
    <w:pPr>
      <w:numPr>
        <w:ilvl w:val="2"/>
        <w:numId w:val="2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6">
    <w:name w:val="heading 4"/>
    <w:next w:val="5"/>
    <w:unhideWhenUsed/>
    <w:qFormat/>
    <w:uiPriority w:val="9"/>
    <w:pPr>
      <w:numPr>
        <w:ilvl w:val="3"/>
        <w:numId w:val="3"/>
      </w:numPr>
      <w:adjustRightInd w:val="0"/>
      <w:snapToGrid w:val="0"/>
      <w:spacing w:before="100" w:beforeLines="100" w:after="50" w:afterLines="50" w:line="288" w:lineRule="auto"/>
      <w:ind w:left="0" w:firstLine="0"/>
      <w:outlineLvl w:val="3"/>
    </w:pPr>
    <w:rPr>
      <w:rFonts w:ascii="黑体" w:hAnsi="黑体" w:eastAsia="黑体" w:cstheme="minorBidi"/>
      <w:b/>
      <w:bCs/>
      <w:sz w:val="28"/>
      <w:szCs w:val="28"/>
      <w:lang w:val="en-US" w:eastAsia="zh-CN" w:bidi="ar-SA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8"/>
    <w:qFormat/>
    <w:uiPriority w:val="0"/>
    <w:pPr>
      <w:ind w:left="0" w:leftChars="0" w:firstLine="420"/>
    </w:pPr>
  </w:style>
  <w:style w:type="table" w:styleId="14">
    <w:name w:val="Table Grid"/>
    <w:basedOn w:val="1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产品手册——表"/>
    <w:qFormat/>
    <w:uiPriority w:val="0"/>
    <w:pPr>
      <w:adjustRightInd w:val="0"/>
      <w:snapToGrid w:val="0"/>
      <w:spacing w:before="20" w:beforeLines="20" w:after="20" w:afterLines="20"/>
      <w:jc w:val="center"/>
    </w:pPr>
    <w:rPr>
      <w:rFonts w:ascii="Microsoft JhengHei" w:hAnsi="Microsoft JhengHei" w:eastAsia="Microsoft JhengHei" w:cs="Times New Roman"/>
      <w:sz w:val="21"/>
      <w:szCs w:val="22"/>
      <w:lang w:val="en-US" w:eastAsia="zh-CN" w:bidi="ar-SA"/>
    </w:rPr>
  </w:style>
  <w:style w:type="character" w:customStyle="1" w:styleId="18">
    <w:name w:val="标题 3 Char"/>
    <w:link w:val="4"/>
    <w:qFormat/>
    <w:uiPriority w:val="9"/>
    <w:rPr>
      <w:rFonts w:ascii="黑体" w:hAnsi="黑体" w:eastAsia="黑体"/>
      <w:b/>
      <w:bCs/>
      <w:sz w:val="30"/>
      <w:szCs w:val="30"/>
    </w:rPr>
  </w:style>
  <w:style w:type="character" w:customStyle="1" w:styleId="19">
    <w:name w:val="font1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21"/>
    <w:basedOn w:val="1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1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LC主要特点"/>
    <w:basedOn w:val="1"/>
    <w:qFormat/>
    <w:uiPriority w:val="0"/>
    <w:pPr>
      <w:outlineLvl w:val="3"/>
    </w:pPr>
    <w:rPr>
      <w:rFonts w:ascii="Arial Unicode MS" w:hAnsi="Arial Unicode MS" w:eastAsia="微软雅黑"/>
      <w:b/>
    </w:rPr>
  </w:style>
  <w:style w:type="paragraph" w:customStyle="1" w:styleId="23">
    <w:name w:val="LC 文字内容 带符号编码"/>
    <w:next w:val="1"/>
    <w:qFormat/>
    <w:uiPriority w:val="0"/>
    <w:pPr>
      <w:numPr>
        <w:ilvl w:val="0"/>
        <w:numId w:val="4"/>
      </w:numPr>
      <w:adjustRightInd w:val="0"/>
      <w:snapToGrid w:val="0"/>
      <w:spacing w:before="0" w:beforeLines="0" w:after="0" w:afterLines="0"/>
      <w:ind w:left="840" w:leftChars="200"/>
      <w:jc w:val="both"/>
      <w:outlineLvl w:val="9"/>
    </w:pPr>
    <w:rPr>
      <w:rFonts w:ascii="微软雅黑" w:hAnsi="微软雅黑" w:eastAsia="微软雅黑" w:cs="Times New Roman"/>
      <w:sz w:val="21"/>
      <w:lang w:val="en-US" w:eastAsia="zh-CN" w:bidi="ar-SA"/>
    </w:rPr>
  </w:style>
  <w:style w:type="paragraph" w:customStyle="1" w:styleId="24">
    <w:name w:val="LC文字内容 空2格"/>
    <w:basedOn w:val="1"/>
    <w:qFormat/>
    <w:uiPriority w:val="0"/>
    <w:pPr>
      <w:numPr>
        <w:ilvl w:val="0"/>
        <w:numId w:val="0"/>
      </w:numPr>
      <w:spacing w:beforeLines="0" w:afterLines="0" w:line="240" w:lineRule="auto"/>
      <w:ind w:left="0" w:leftChars="0" w:firstLine="420"/>
      <w:outlineLvl w:val="9"/>
    </w:pPr>
    <w:rPr>
      <w:rFonts w:ascii="微软雅黑" w:hAnsi="微软雅黑" w:eastAsia="微软雅黑" w:cs="Times New Roman"/>
    </w:rPr>
  </w:style>
  <w:style w:type="paragraph" w:customStyle="1" w:styleId="25">
    <w:name w:val="装箱单"/>
    <w:next w:val="1"/>
    <w:autoRedefine/>
    <w:qFormat/>
    <w:uiPriority w:val="0"/>
    <w:pPr>
      <w:adjustRightInd w:val="0"/>
      <w:snapToGrid w:val="0"/>
      <w:jc w:val="both"/>
    </w:pPr>
    <w:rPr>
      <w:rFonts w:ascii="微软雅黑" w:hAnsi="微软雅黑" w:eastAsia="微软雅黑" w:cs="Times New Roman"/>
      <w:kern w:val="0"/>
      <w:sz w:val="24"/>
      <w:szCs w:val="20"/>
      <w:lang w:val="en-US" w:eastAsia="zh-CN" w:bidi="ar-SA"/>
    </w:rPr>
  </w:style>
  <w:style w:type="paragraph" w:customStyle="1" w:styleId="26">
    <w:name w:val="样式1"/>
    <w:basedOn w:val="1"/>
    <w:qFormat/>
    <w:uiPriority w:val="0"/>
    <w:pPr>
      <w:jc w:val="left"/>
    </w:pPr>
    <w:rPr>
      <w:rFonts w:hint="default" w:eastAsia="仿宋_GB2312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1056</Characters>
  <Lines>0</Lines>
  <Paragraphs>0</Paragraphs>
  <TotalTime>0</TotalTime>
  <ScaleCrop>false</ScaleCrop>
  <LinksUpToDate>false</LinksUpToDate>
  <CharactersWithSpaces>1084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2026-04-07T04:16:20Z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D85F96866F7B497F8901B1AA02EE6CC2_13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