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3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便携式多参数水质测定仪（水温、PH、电导率、溶解氧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）</w:t>
      </w:r>
    </w:p>
    <w:p w14:paraId="228E34F8">
      <w:pPr>
        <w:spacing w:line="360" w:lineRule="auto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1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</w:rPr>
        <w:t>用途</w:t>
      </w:r>
    </w:p>
    <w:p w14:paraId="3051C78C">
      <w:pPr>
        <w:spacing w:line="360" w:lineRule="auto"/>
        <w:ind w:firstLine="472" w:firstLineChars="20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hint="eastAsia" w:asciiTheme="minorEastAsia" w:hAnsiTheme="minorEastAsia"/>
          <w:spacing w:val="-2"/>
          <w:sz w:val="24"/>
          <w:szCs w:val="24"/>
        </w:rPr>
        <w:t>可用于市政污水、工业污水、饮用水、环境监测、教育、科研等领域的水质分析。可测参数有pH、电导率、TDS、DO；可在分析仪之间调换已校准的电极，可以现场使用，自动检测标准程序和校准提醒。</w:t>
      </w:r>
    </w:p>
    <w:p w14:paraId="2D67E7E3">
      <w:pPr>
        <w:spacing w:line="360" w:lineRule="auto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/>
          <w:bCs/>
          <w:sz w:val="24"/>
          <w:szCs w:val="24"/>
        </w:rPr>
        <w:t>便携式多参数分析仪</w:t>
      </w:r>
    </w:p>
    <w:p w14:paraId="2B98C6AA">
      <w:pPr>
        <w:spacing w:line="360" w:lineRule="auto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2.1 工作条件</w:t>
      </w:r>
    </w:p>
    <w:p w14:paraId="7A1A4BC2">
      <w:pPr>
        <w:spacing w:line="360" w:lineRule="auto"/>
        <w:rPr>
          <w:rFonts w:ascii="等线" w:hAnsi="等线" w:eastAsia="等线"/>
          <w:spacing w:val="-2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 xml:space="preserve">2.1.1 </w:t>
      </w:r>
      <w:r>
        <w:rPr>
          <w:rFonts w:ascii="等线" w:hAnsi="等线" w:eastAsia="等线"/>
          <w:spacing w:val="-2"/>
          <w:sz w:val="24"/>
          <w:szCs w:val="24"/>
        </w:rPr>
        <w:t>电源要求 ：</w:t>
      </w:r>
      <w:r>
        <w:rPr>
          <w:rFonts w:hint="eastAsia" w:ascii="等线" w:hAnsi="等线" w:eastAsia="等线"/>
          <w:spacing w:val="-2"/>
          <w:sz w:val="24"/>
          <w:szCs w:val="24"/>
        </w:rPr>
        <w:t>提供两种供电模式（1）内部的</w:t>
      </w:r>
      <w:r>
        <w:rPr>
          <w:rFonts w:hint="eastAsia" w:ascii="等线" w:hAnsi="等线" w:eastAsia="等线" w:cs="宋体"/>
          <w:color w:val="000000"/>
          <w:sz w:val="24"/>
          <w:szCs w:val="24"/>
        </w:rPr>
        <w:t>可充电锂离子电池</w:t>
      </w:r>
      <w:r>
        <w:rPr>
          <w:rFonts w:hint="eastAsia" w:ascii="等线" w:hAnsi="等线" w:eastAsia="等线"/>
          <w:sz w:val="24"/>
          <w:szCs w:val="24"/>
        </w:rPr>
        <w:t>;（2）</w:t>
      </w:r>
      <w:r>
        <w:rPr>
          <w:rFonts w:ascii="等线" w:hAnsi="等线" w:eastAsia="等线"/>
          <w:spacing w:val="-2"/>
          <w:sz w:val="24"/>
          <w:szCs w:val="24"/>
        </w:rPr>
        <w:t xml:space="preserve">外置的 </w:t>
      </w:r>
      <w:r>
        <w:rPr>
          <w:rFonts w:hint="eastAsia" w:ascii="等线" w:hAnsi="等线" w:eastAsia="等线" w:cs="宋体"/>
          <w:color w:val="000000"/>
          <w:sz w:val="24"/>
          <w:szCs w:val="24"/>
        </w:rPr>
        <w:t>Class II USB 电源适配器。</w:t>
      </w:r>
    </w:p>
    <w:p w14:paraId="19EE669E">
      <w:pPr>
        <w:spacing w:line="360" w:lineRule="auto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2.2技术性能指标</w:t>
      </w:r>
    </w:p>
    <w:p w14:paraId="2B47584D">
      <w:pPr>
        <w:spacing w:line="360" w:lineRule="auto"/>
        <w:ind w:left="1235" w:hanging="1411" w:hangingChars="588"/>
        <w:rPr>
          <w:rFonts w:ascii="宋体" w:hAnsi="宋体" w:eastAsia="宋体"/>
          <w:b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>2.2.1 语言：</w:t>
      </w:r>
      <w:r>
        <w:rPr>
          <w:rFonts w:hint="eastAsia" w:ascii="等线" w:hAnsi="等线" w:eastAsia="等线"/>
          <w:sz w:val="24"/>
          <w:szCs w:val="24"/>
        </w:rPr>
        <w:t>提供多国语言，其中包括中文</w:t>
      </w:r>
    </w:p>
    <w:p w14:paraId="05941036">
      <w:pPr>
        <w:spacing w:line="360" w:lineRule="auto"/>
        <w:ind w:left="1155" w:hanging="1320" w:hangingChars="550"/>
        <w:jc w:val="both"/>
        <w:rPr>
          <w:rFonts w:asciiTheme="minorEastAsia" w:hAnsiTheme="minorEastAsia"/>
          <w:sz w:val="24"/>
          <w:szCs w:val="24"/>
        </w:rPr>
      </w:pPr>
      <w:r>
        <w:rPr>
          <w:rFonts w:hint="eastAsia" w:ascii="等线" w:hAnsi="等线" w:eastAsia="等线"/>
          <w:color w:val="auto"/>
          <w:sz w:val="24"/>
          <w:szCs w:val="24"/>
        </w:rPr>
        <w:t>■</w:t>
      </w:r>
      <w:r>
        <w:rPr>
          <w:rFonts w:asciiTheme="minorEastAsia" w:hAnsiTheme="minorEastAsia"/>
          <w:sz w:val="24"/>
          <w:szCs w:val="24"/>
        </w:rPr>
        <w:t>2.2.2显示：可</w:t>
      </w:r>
      <w:r>
        <w:rPr>
          <w:rFonts w:hint="eastAsia" w:asciiTheme="minorEastAsia" w:hAnsiTheme="minorEastAsia"/>
          <w:sz w:val="24"/>
          <w:szCs w:val="24"/>
        </w:rPr>
        <w:t>同时</w:t>
      </w:r>
      <w:r>
        <w:rPr>
          <w:rFonts w:asciiTheme="minorEastAsia" w:hAnsiTheme="minorEastAsia"/>
          <w:sz w:val="24"/>
          <w:szCs w:val="24"/>
        </w:rPr>
        <w:t>显示</w:t>
      </w:r>
      <w:r>
        <w:rPr>
          <w:rFonts w:hint="eastAsia" w:asciiTheme="minorEastAsia" w:hAnsiTheme="minorEastAsia"/>
          <w:sz w:val="24"/>
          <w:szCs w:val="24"/>
        </w:rPr>
        <w:t>如下</w:t>
      </w:r>
      <w:r>
        <w:rPr>
          <w:rFonts w:asciiTheme="minorEastAsia" w:hAnsiTheme="minorEastAsia"/>
          <w:sz w:val="24"/>
          <w:szCs w:val="24"/>
        </w:rPr>
        <w:t>2个电极的</w:t>
      </w:r>
      <w:r>
        <w:rPr>
          <w:rFonts w:hint="eastAsia" w:asciiTheme="minorEastAsia" w:hAnsiTheme="minorEastAsia"/>
          <w:sz w:val="24"/>
          <w:szCs w:val="24"/>
        </w:rPr>
        <w:t>测量</w:t>
      </w:r>
      <w:r>
        <w:rPr>
          <w:rFonts w:asciiTheme="minorEastAsia" w:hAnsiTheme="minorEastAsia"/>
          <w:sz w:val="24"/>
          <w:szCs w:val="24"/>
        </w:rPr>
        <w:t>读数</w:t>
      </w:r>
    </w:p>
    <w:p w14:paraId="5FF10DCC">
      <w:pPr>
        <w:spacing w:line="360" w:lineRule="auto"/>
        <w:ind w:firstLine="705" w:firstLineChars="294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（1）pH电极：pH、mV、温度</w:t>
      </w:r>
    </w:p>
    <w:p w14:paraId="783691B9">
      <w:pPr>
        <w:spacing w:line="360" w:lineRule="auto"/>
        <w:ind w:firstLine="705" w:firstLineChars="294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（2）电导率电极：电导率、盐度、</w:t>
      </w:r>
      <w:r>
        <w:rPr>
          <w:rFonts w:hint="eastAsia" w:asciiTheme="minorEastAsia" w:hAnsiTheme="minorEastAsia"/>
          <w:bCs/>
          <w:sz w:val="24"/>
          <w:szCs w:val="24"/>
        </w:rPr>
        <w:t>T</w:t>
      </w:r>
      <w:r>
        <w:rPr>
          <w:rFonts w:asciiTheme="minorEastAsia" w:hAnsiTheme="minorEastAsia"/>
          <w:bCs/>
          <w:sz w:val="24"/>
          <w:szCs w:val="24"/>
        </w:rPr>
        <w:t>DS总溶解固体、温度</w:t>
      </w:r>
    </w:p>
    <w:p w14:paraId="204B23B4">
      <w:pPr>
        <w:spacing w:line="360" w:lineRule="auto"/>
        <w:ind w:firstLine="705" w:firstLineChars="294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（3）溶解氧电极：溶解氧、压力、温度</w:t>
      </w:r>
    </w:p>
    <w:p w14:paraId="35FA5722">
      <w:pPr>
        <w:spacing w:line="360" w:lineRule="auto"/>
        <w:ind w:left="105" w:hanging="120" w:hangingChars="5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2.2.3 数据内存：</w:t>
      </w:r>
      <w:r>
        <w:rPr>
          <w:rFonts w:hint="eastAsia" w:asciiTheme="minorEastAsia" w:hAnsiTheme="minorEastAsia"/>
          <w:sz w:val="24"/>
          <w:szCs w:val="24"/>
        </w:rPr>
        <w:t>不少于</w:t>
      </w:r>
      <w:r>
        <w:rPr>
          <w:rFonts w:asciiTheme="minorEastAsia" w:hAnsiTheme="minorEastAsia"/>
          <w:sz w:val="24"/>
          <w:szCs w:val="24"/>
        </w:rPr>
        <w:t xml:space="preserve"> 10</w:t>
      </w:r>
      <w:r>
        <w:rPr>
          <w:rFonts w:hint="eastAsia" w:asciiTheme="minorEastAsia" w:hAnsiTheme="minorEastAsia"/>
          <w:sz w:val="24"/>
          <w:szCs w:val="24"/>
        </w:rPr>
        <w:t>,</w:t>
      </w:r>
      <w:r>
        <w:rPr>
          <w:rFonts w:asciiTheme="minorEastAsia" w:hAnsiTheme="minorEastAsia"/>
          <w:sz w:val="24"/>
          <w:szCs w:val="24"/>
        </w:rPr>
        <w:t>000 组数据</w:t>
      </w:r>
    </w:p>
    <w:p w14:paraId="234EAAF3">
      <w:pPr>
        <w:spacing w:line="360" w:lineRule="auto"/>
        <w:ind w:left="1890" w:hanging="2160" w:hangingChars="900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>2.2.4 数据存储： 在“按下即读”模式和间隔测量模式时可自动存储。</w:t>
      </w:r>
    </w:p>
    <w:p w14:paraId="78C644FE">
      <w:pPr>
        <w:spacing w:line="360" w:lineRule="auto"/>
        <w:ind w:left="105" w:hanging="120" w:hangingChars="50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>2.2.5 数据传输：通过USB接</w:t>
      </w:r>
      <w:r>
        <w:rPr>
          <w:rFonts w:hint="eastAsia" w:ascii="等线" w:hAnsi="等线" w:eastAsia="等线"/>
          <w:sz w:val="24"/>
          <w:szCs w:val="24"/>
        </w:rPr>
        <w:t>口连接到</w:t>
      </w:r>
      <w:r>
        <w:rPr>
          <w:rFonts w:ascii="等线" w:hAnsi="等线" w:eastAsia="等线"/>
          <w:sz w:val="24"/>
          <w:szCs w:val="24"/>
        </w:rPr>
        <w:t>至</w:t>
      </w:r>
      <w:r>
        <w:rPr>
          <w:rFonts w:hint="eastAsia" w:ascii="等线" w:hAnsi="等线" w:eastAsia="等线"/>
          <w:sz w:val="24"/>
          <w:szCs w:val="24"/>
        </w:rPr>
        <w:t>PC</w:t>
      </w:r>
      <w:r>
        <w:rPr>
          <w:rFonts w:ascii="等线" w:hAnsi="等线" w:eastAsia="等线"/>
          <w:sz w:val="24"/>
          <w:szCs w:val="24"/>
        </w:rPr>
        <w:t>或</w:t>
      </w:r>
      <w:r>
        <w:rPr>
          <w:rFonts w:hint="eastAsia" w:ascii="等线" w:hAnsi="等线" w:eastAsia="等线"/>
          <w:sz w:val="24"/>
          <w:szCs w:val="24"/>
        </w:rPr>
        <w:t>USB存储设备。</w:t>
      </w:r>
    </w:p>
    <w:p w14:paraId="220557A6">
      <w:pPr>
        <w:spacing w:line="360" w:lineRule="auto"/>
        <w:ind w:left="105" w:hanging="120" w:hangingChars="50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>2.2.6 温度</w:t>
      </w:r>
      <w:r>
        <w:rPr>
          <w:rFonts w:hint="eastAsia" w:ascii="等线" w:hAnsi="等线" w:eastAsia="等线"/>
          <w:sz w:val="24"/>
          <w:szCs w:val="24"/>
        </w:rPr>
        <w:t>校正：关闭、自动和手动（取决于特定参数）</w:t>
      </w:r>
    </w:p>
    <w:p w14:paraId="0615F0D6">
      <w:pPr>
        <w:spacing w:line="360" w:lineRule="auto"/>
        <w:ind w:left="105" w:hanging="120" w:hangingChars="50"/>
        <w:rPr>
          <w:rFonts w:ascii="等线" w:hAnsi="等线" w:eastAsia="等线"/>
          <w:sz w:val="24"/>
          <w:szCs w:val="24"/>
        </w:rPr>
      </w:pPr>
      <w:r>
        <w:rPr>
          <w:rFonts w:ascii="等线" w:hAnsi="等线" w:eastAsia="等线"/>
          <w:sz w:val="24"/>
          <w:szCs w:val="24"/>
        </w:rPr>
        <w:t>2.2.</w:t>
      </w:r>
      <w:r>
        <w:rPr>
          <w:rFonts w:hint="eastAsia" w:ascii="等线" w:hAnsi="等线" w:eastAsia="等线"/>
          <w:sz w:val="24"/>
          <w:szCs w:val="24"/>
        </w:rPr>
        <w:t>7外壳防护等级</w:t>
      </w:r>
      <w:r>
        <w:rPr>
          <w:rFonts w:ascii="等线" w:hAnsi="等线" w:eastAsia="等线"/>
          <w:sz w:val="24"/>
          <w:szCs w:val="24"/>
        </w:rPr>
        <w:t>：IP67</w:t>
      </w:r>
      <w:r>
        <w:rPr>
          <w:rFonts w:hint="eastAsia" w:ascii="等线" w:hAnsi="等线" w:eastAsia="等线"/>
          <w:sz w:val="24"/>
          <w:szCs w:val="24"/>
        </w:rPr>
        <w:t>（安装了电池盒后）</w:t>
      </w:r>
    </w:p>
    <w:p w14:paraId="75B13DDA">
      <w:pPr>
        <w:spacing w:line="360" w:lineRule="auto"/>
        <w:jc w:val="both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pacing w:val="-2"/>
          <w:sz w:val="24"/>
          <w:szCs w:val="24"/>
        </w:rPr>
        <w:t>3</w:t>
      </w:r>
      <w:r>
        <w:rPr>
          <w:rFonts w:hint="eastAsia" w:ascii="宋体" w:hAnsi="宋体" w:eastAsia="宋体"/>
          <w:b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/>
          <w:b/>
          <w:spacing w:val="-2"/>
          <w:sz w:val="24"/>
          <w:szCs w:val="24"/>
        </w:rPr>
        <w:t>电极</w:t>
      </w:r>
      <w:r>
        <w:rPr>
          <w:rFonts w:ascii="宋体" w:hAnsi="宋体" w:eastAsia="宋体"/>
          <w:b/>
          <w:sz w:val="24"/>
          <w:szCs w:val="24"/>
        </w:rPr>
        <w:t>技术性能指标</w:t>
      </w:r>
    </w:p>
    <w:p w14:paraId="188223BC">
      <w:pPr>
        <w:spacing w:line="360" w:lineRule="auto"/>
        <w:jc w:val="both"/>
        <w:rPr>
          <w:rFonts w:ascii="宋体" w:hAnsi="宋体" w:eastAsia="宋体"/>
          <w:b/>
          <w:spacing w:val="-2"/>
          <w:sz w:val="24"/>
          <w:szCs w:val="24"/>
        </w:rPr>
      </w:pPr>
      <w:r>
        <w:rPr>
          <w:rFonts w:ascii="宋体" w:hAnsi="宋体" w:eastAsia="宋体"/>
          <w:b/>
          <w:spacing w:val="-2"/>
          <w:sz w:val="24"/>
          <w:szCs w:val="24"/>
        </w:rPr>
        <w:t>3.1温度</w:t>
      </w:r>
    </w:p>
    <w:p w14:paraId="42FD0E67">
      <w:pPr>
        <w:spacing w:line="360" w:lineRule="auto"/>
        <w:ind w:firstLine="472" w:firstLineChars="20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量程：-10.0～110.0℃</w:t>
      </w:r>
    </w:p>
    <w:p w14:paraId="4ADB34C9">
      <w:pPr>
        <w:spacing w:line="360" w:lineRule="auto"/>
        <w:ind w:firstLine="48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分辨率：0.1℃</w:t>
      </w:r>
    </w:p>
    <w:p w14:paraId="3C91F059">
      <w:pPr>
        <w:spacing w:line="360" w:lineRule="auto"/>
        <w:ind w:firstLine="48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准确度：±0.3℃</w:t>
      </w:r>
    </w:p>
    <w:p w14:paraId="236FC990">
      <w:pPr>
        <w:spacing w:line="360" w:lineRule="auto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■</w:t>
      </w:r>
      <w:r>
        <w:rPr>
          <w:rFonts w:ascii="宋体" w:hAnsi="宋体" w:eastAsia="宋体"/>
          <w:b/>
          <w:bCs/>
          <w:sz w:val="24"/>
          <w:szCs w:val="24"/>
        </w:rPr>
        <w:t>3.2 pH</w:t>
      </w:r>
      <w:r>
        <w:rPr>
          <w:rFonts w:ascii="宋体" w:hAnsi="宋体" w:eastAsia="宋体"/>
          <w:b/>
          <w:spacing w:val="-2"/>
          <w:sz w:val="24"/>
          <w:szCs w:val="24"/>
        </w:rPr>
        <w:t>电极</w:t>
      </w:r>
    </w:p>
    <w:p w14:paraId="5C72B2F8">
      <w:pPr>
        <w:spacing w:line="360" w:lineRule="auto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   </w:t>
      </w:r>
      <w:r>
        <w:rPr>
          <w:rFonts w:asciiTheme="minorEastAsia" w:hAnsiTheme="minorEastAsia"/>
          <w:spacing w:val="-2"/>
          <w:sz w:val="24"/>
          <w:szCs w:val="24"/>
        </w:rPr>
        <w:t xml:space="preserve">量程：  </w:t>
      </w:r>
      <w:r>
        <w:rPr>
          <w:rFonts w:hint="eastAsia" w:asciiTheme="minorEastAsia" w:hAnsiTheme="minorEastAsia"/>
          <w:spacing w:val="-2"/>
          <w:sz w:val="24"/>
          <w:szCs w:val="24"/>
        </w:rPr>
        <w:t>0</w:t>
      </w:r>
      <w:r>
        <w:rPr>
          <w:rFonts w:asciiTheme="minorEastAsia" w:hAnsiTheme="minorEastAsia"/>
          <w:spacing w:val="-2"/>
          <w:sz w:val="24"/>
          <w:szCs w:val="24"/>
        </w:rPr>
        <w:t>～14（标准凝胶电极）</w:t>
      </w:r>
    </w:p>
    <w:p w14:paraId="0C5F362C">
      <w:pPr>
        <w:spacing w:line="360" w:lineRule="auto"/>
        <w:ind w:firstLine="354" w:firstLineChars="1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分辨率：0.1/0.01/0.001可选</w:t>
      </w:r>
    </w:p>
    <w:p w14:paraId="2E64BA26">
      <w:pPr>
        <w:spacing w:line="360" w:lineRule="auto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        pH</w:t>
      </w:r>
      <w:r>
        <w:rPr>
          <w:rFonts w:asciiTheme="minorEastAsia" w:hAnsiTheme="minorEastAsia"/>
          <w:spacing w:val="-2"/>
          <w:sz w:val="24"/>
          <w:szCs w:val="24"/>
        </w:rPr>
        <w:t>电极0.02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</w:p>
    <w:p w14:paraId="2889B24C">
      <w:pPr>
        <w:spacing w:line="360" w:lineRule="auto"/>
        <w:jc w:val="both"/>
        <w:rPr>
          <w:rFonts w:ascii="宋体" w:hAnsi="宋体" w:eastAsia="宋体"/>
          <w:b/>
          <w:spacing w:val="-2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 xml:space="preserve">3.4 </w:t>
      </w:r>
      <w:r>
        <w:rPr>
          <w:rFonts w:ascii="宋体" w:hAnsi="宋体" w:eastAsia="宋体"/>
          <w:b/>
          <w:spacing w:val="-2"/>
          <w:sz w:val="24"/>
          <w:szCs w:val="24"/>
        </w:rPr>
        <w:t>电导率电极</w:t>
      </w:r>
    </w:p>
    <w:p w14:paraId="3DC2B519">
      <w:pPr>
        <w:spacing w:line="360" w:lineRule="auto"/>
        <w:ind w:firstLine="355" w:firstLineChars="150"/>
        <w:jc w:val="both"/>
        <w:rPr>
          <w:rFonts w:ascii="宋体" w:hAnsi="宋体" w:eastAsia="宋体"/>
          <w:spacing w:val="-2"/>
          <w:sz w:val="24"/>
          <w:szCs w:val="24"/>
        </w:rPr>
      </w:pPr>
      <w:r>
        <w:rPr>
          <w:rFonts w:ascii="宋体" w:hAnsi="宋体" w:eastAsia="宋体"/>
          <w:b/>
          <w:spacing w:val="-2"/>
          <w:sz w:val="24"/>
          <w:szCs w:val="24"/>
        </w:rPr>
        <w:t>电导率：</w:t>
      </w:r>
    </w:p>
    <w:p w14:paraId="48AECA8F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量程：0.01 μS/cm ～ 200.0 mS/cm</w:t>
      </w:r>
    </w:p>
    <w:p w14:paraId="4DEA2497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分辨率：0.01 μS/cm（最大0.05μS/cm）</w:t>
      </w:r>
    </w:p>
    <w:p w14:paraId="13F0FA56">
      <w:pPr>
        <w:spacing w:line="360" w:lineRule="auto"/>
        <w:ind w:firstLine="600" w:firstLineChars="25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电阻率：</w:t>
      </w:r>
    </w:p>
    <w:p w14:paraId="0C9A5F6E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8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量程：</w:t>
      </w:r>
      <w:r>
        <w:rPr>
          <w:rFonts w:asciiTheme="minorEastAsia" w:hAnsiTheme="minorEastAsia"/>
          <w:spacing w:val="8"/>
          <w:sz w:val="24"/>
          <w:szCs w:val="24"/>
        </w:rPr>
        <w:t>2.5</w:t>
      </w:r>
      <w:r>
        <w:rPr>
          <w:rFonts w:asciiTheme="minorEastAsia" w:hAnsiTheme="minorEastAsia"/>
          <w:spacing w:val="-2"/>
          <w:sz w:val="24"/>
          <w:szCs w:val="24"/>
        </w:rPr>
        <w:t>～49</w:t>
      </w:r>
      <w:r>
        <w:rPr>
          <w:rFonts w:asciiTheme="minorEastAsia" w:hAnsiTheme="minorEastAsia"/>
          <w:spacing w:val="8"/>
          <w:sz w:val="24"/>
          <w:szCs w:val="24"/>
        </w:rPr>
        <w:t>欧姆·厘米</w:t>
      </w:r>
    </w:p>
    <w:p w14:paraId="134CE481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分辨率：0.1</w:t>
      </w:r>
      <w:r>
        <w:rPr>
          <w:rFonts w:asciiTheme="minorEastAsia" w:hAnsiTheme="minorEastAsia"/>
          <w:spacing w:val="8"/>
          <w:sz w:val="24"/>
          <w:szCs w:val="24"/>
        </w:rPr>
        <w:t>欧姆·厘米</w:t>
      </w:r>
      <w:r>
        <w:rPr>
          <w:rFonts w:asciiTheme="minorEastAsia" w:hAnsiTheme="minorEastAsia"/>
          <w:spacing w:val="-2"/>
          <w:sz w:val="24"/>
          <w:szCs w:val="24"/>
        </w:rPr>
        <w:t>（最大0.05</w:t>
      </w:r>
      <w:r>
        <w:rPr>
          <w:rFonts w:asciiTheme="minorEastAsia" w:hAnsiTheme="minorEastAsia"/>
          <w:spacing w:val="8"/>
          <w:sz w:val="24"/>
          <w:szCs w:val="24"/>
        </w:rPr>
        <w:t>欧姆·厘米</w:t>
      </w:r>
      <w:r>
        <w:rPr>
          <w:rFonts w:asciiTheme="minorEastAsia" w:hAnsiTheme="minorEastAsia"/>
          <w:spacing w:val="-2"/>
          <w:sz w:val="24"/>
          <w:szCs w:val="24"/>
        </w:rPr>
        <w:t>）</w:t>
      </w:r>
    </w:p>
    <w:p w14:paraId="1738BB42">
      <w:pPr>
        <w:spacing w:line="360" w:lineRule="auto"/>
        <w:ind w:firstLine="355" w:firstLineChars="150"/>
        <w:jc w:val="both"/>
        <w:rPr>
          <w:rFonts w:ascii="宋体" w:hAnsi="宋体" w:eastAsia="宋体"/>
          <w:b/>
          <w:spacing w:val="-2"/>
          <w:sz w:val="24"/>
          <w:szCs w:val="24"/>
        </w:rPr>
      </w:pPr>
      <w:r>
        <w:rPr>
          <w:rFonts w:ascii="宋体" w:hAnsi="宋体" w:eastAsia="宋体"/>
          <w:b/>
          <w:spacing w:val="-2"/>
          <w:sz w:val="24"/>
          <w:szCs w:val="24"/>
        </w:rPr>
        <w:t>盐度：</w:t>
      </w:r>
    </w:p>
    <w:p w14:paraId="38C7637A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量程：</w:t>
      </w:r>
      <w:r>
        <w:rPr>
          <w:rFonts w:asciiTheme="minorEastAsia" w:hAnsiTheme="minorEastAsia"/>
          <w:spacing w:val="8"/>
          <w:sz w:val="24"/>
          <w:szCs w:val="24"/>
        </w:rPr>
        <w:t>0</w:t>
      </w:r>
      <w:r>
        <w:rPr>
          <w:rFonts w:asciiTheme="minorEastAsia" w:hAnsiTheme="minorEastAsia"/>
          <w:spacing w:val="-2"/>
          <w:sz w:val="24"/>
          <w:szCs w:val="24"/>
        </w:rPr>
        <w:t>～42g/kg或‰</w:t>
      </w:r>
    </w:p>
    <w:p w14:paraId="7C10C769">
      <w:pPr>
        <w:spacing w:line="360" w:lineRule="auto"/>
        <w:ind w:firstLine="590" w:firstLineChars="250"/>
        <w:jc w:val="both"/>
        <w:rPr>
          <w:rFonts w:ascii="宋体" w:hAnsi="宋体" w:eastAsia="宋体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分辨率：0.01ppt</w:t>
      </w:r>
    </w:p>
    <w:p w14:paraId="0204D034">
      <w:pPr>
        <w:spacing w:line="360" w:lineRule="auto"/>
        <w:ind w:firstLine="355" w:firstLineChars="150"/>
        <w:jc w:val="both"/>
        <w:rPr>
          <w:rFonts w:ascii="宋体" w:hAnsi="宋体" w:eastAsia="宋体"/>
          <w:b/>
          <w:spacing w:val="-2"/>
          <w:sz w:val="24"/>
          <w:szCs w:val="24"/>
        </w:rPr>
      </w:pPr>
      <w:r>
        <w:rPr>
          <w:rFonts w:ascii="宋体" w:hAnsi="宋体" w:eastAsia="宋体"/>
          <w:b/>
          <w:spacing w:val="-2"/>
          <w:sz w:val="24"/>
          <w:szCs w:val="24"/>
        </w:rPr>
        <w:t>总溶解性固体：</w:t>
      </w:r>
    </w:p>
    <w:p w14:paraId="066DB3DE">
      <w:pPr>
        <w:spacing w:line="360" w:lineRule="auto"/>
        <w:ind w:firstLine="590" w:firstLineChars="2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量程：</w:t>
      </w:r>
      <w:r>
        <w:rPr>
          <w:rFonts w:asciiTheme="minorEastAsia" w:hAnsiTheme="minorEastAsia"/>
          <w:spacing w:val="8"/>
          <w:sz w:val="24"/>
          <w:szCs w:val="24"/>
        </w:rPr>
        <w:t>0.0</w:t>
      </w:r>
      <w:r>
        <w:rPr>
          <w:rFonts w:asciiTheme="minorEastAsia" w:hAnsiTheme="minorEastAsia"/>
          <w:spacing w:val="-2"/>
          <w:sz w:val="24"/>
          <w:szCs w:val="24"/>
        </w:rPr>
        <w:t>～50.0g/L</w:t>
      </w:r>
    </w:p>
    <w:p w14:paraId="145EB8B6">
      <w:pPr>
        <w:spacing w:line="360" w:lineRule="auto"/>
        <w:ind w:firstLine="472" w:firstLineChars="20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分辨率：0.1 mg/L</w:t>
      </w:r>
    </w:p>
    <w:p w14:paraId="1CEA9E24">
      <w:pPr>
        <w:autoSpaceDE w:val="0"/>
        <w:autoSpaceDN w:val="0"/>
        <w:adjustRightInd w:val="0"/>
        <w:spacing w:line="360" w:lineRule="auto"/>
        <w:jc w:val="both"/>
        <w:rPr>
          <w:rFonts w:ascii="宋体" w:hAnsi="宋体" w:eastAsia="宋体"/>
          <w:b/>
          <w:spacing w:val="-2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■</w:t>
      </w:r>
      <w:r>
        <w:rPr>
          <w:rFonts w:ascii="宋体" w:hAnsi="宋体" w:eastAsia="宋体"/>
          <w:b/>
          <w:bCs/>
          <w:sz w:val="24"/>
          <w:szCs w:val="24"/>
        </w:rPr>
        <w:t xml:space="preserve">3.5 </w:t>
      </w:r>
      <w:r>
        <w:rPr>
          <w:rFonts w:ascii="宋体" w:hAnsi="宋体" w:eastAsia="宋体"/>
          <w:b/>
          <w:spacing w:val="-2"/>
          <w:sz w:val="24"/>
          <w:szCs w:val="24"/>
        </w:rPr>
        <w:t>溶解氧</w:t>
      </w:r>
    </w:p>
    <w:p w14:paraId="3B525E48">
      <w:pPr>
        <w:autoSpaceDE w:val="0"/>
        <w:autoSpaceDN w:val="0"/>
        <w:adjustRightInd w:val="0"/>
        <w:spacing w:line="360" w:lineRule="auto"/>
        <w:ind w:firstLine="472" w:firstLineChars="20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量程:  0.01–20.0 mg/L</w:t>
      </w:r>
    </w:p>
    <w:p w14:paraId="71ECC197">
      <w:pPr>
        <w:autoSpaceDE w:val="0"/>
        <w:autoSpaceDN w:val="0"/>
        <w:adjustRightInd w:val="0"/>
        <w:spacing w:line="360" w:lineRule="auto"/>
        <w:ind w:firstLine="1180" w:firstLineChars="50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0–200% 饱和度</w:t>
      </w:r>
    </w:p>
    <w:p w14:paraId="7B35127D">
      <w:pPr>
        <w:autoSpaceDE w:val="0"/>
        <w:autoSpaceDN w:val="0"/>
        <w:adjustRightInd w:val="0"/>
        <w:spacing w:line="360" w:lineRule="auto"/>
        <w:ind w:firstLine="354" w:firstLineChars="1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分辨率：0.01 mg/L</w:t>
      </w:r>
    </w:p>
    <w:p w14:paraId="030066D3">
      <w:pPr>
        <w:autoSpaceDE w:val="0"/>
        <w:autoSpaceDN w:val="0"/>
        <w:adjustRightInd w:val="0"/>
        <w:spacing w:line="360" w:lineRule="auto"/>
        <w:ind w:firstLine="354" w:firstLineChars="1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溶解氧的准确度： 在 0.1–8 mg/L时，为 ±0.1 mg/L</w:t>
      </w:r>
    </w:p>
    <w:p w14:paraId="07198F36">
      <w:pPr>
        <w:autoSpaceDE w:val="0"/>
        <w:autoSpaceDN w:val="0"/>
        <w:adjustRightInd w:val="0"/>
        <w:spacing w:line="360" w:lineRule="auto"/>
        <w:ind w:firstLine="2006" w:firstLineChars="850"/>
        <w:jc w:val="both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/>
          <w:spacing w:val="-2"/>
          <w:sz w:val="24"/>
          <w:szCs w:val="24"/>
        </w:rPr>
        <w:t>大于8.0 mg/L时，为 ±0.2 mg/L</w:t>
      </w:r>
    </w:p>
    <w:p w14:paraId="46D50954">
      <w:pPr>
        <w:spacing w:line="360" w:lineRule="auto"/>
        <w:jc w:val="both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仪器配置（H</w:t>
      </w:r>
      <w:r>
        <w:rPr>
          <w:rFonts w:ascii="宋体" w:hAnsi="宋体" w:eastAsia="宋体"/>
          <w:b/>
          <w:bCs/>
          <w:sz w:val="24"/>
          <w:szCs w:val="24"/>
        </w:rPr>
        <w:t>Q2200</w:t>
      </w:r>
      <w:r>
        <w:rPr>
          <w:rFonts w:hint="eastAsia" w:ascii="宋体" w:hAnsi="宋体" w:eastAsia="宋体"/>
          <w:b/>
          <w:bCs/>
          <w:sz w:val="24"/>
          <w:szCs w:val="24"/>
        </w:rPr>
        <w:t>便携式多参数分析仪+电极）</w:t>
      </w:r>
    </w:p>
    <w:p w14:paraId="7351800A">
      <w:pPr>
        <w:pStyle w:val="14"/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（1）标准型凝胶pH电极, 1米电缆；</w:t>
      </w:r>
    </w:p>
    <w:p w14:paraId="1E43C8F4">
      <w:pPr>
        <w:pStyle w:val="14"/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（2）标准型电导电极,1  1米电缆;</w:t>
      </w:r>
    </w:p>
    <w:p w14:paraId="4611C93A">
      <w:pPr>
        <w:pStyle w:val="14"/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（3）标准溶解氧型电极, 1米电缆;</w:t>
      </w:r>
    </w:p>
    <w:p w14:paraId="4DF0DF2D">
      <w:pPr>
        <w:pStyle w:val="14"/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其他配件：</w:t>
      </w:r>
    </w:p>
    <w:p w14:paraId="0807A982">
      <w:pPr>
        <w:pStyle w:val="14"/>
        <w:spacing w:line="360" w:lineRule="auto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（1）系列pH电极校准标准液、电导率电极校准标准液、溶解氧荧光帽等</w:t>
      </w:r>
    </w:p>
    <w:p w14:paraId="7F824920">
      <w:pPr>
        <w:spacing w:line="360" w:lineRule="auto"/>
        <w:jc w:val="both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4"/>
          <w:szCs w:val="24"/>
        </w:rPr>
        <w:t>（2）USB适配器及电源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3C2C57F0"/>
    <w:multiLevelType w:val="singleLevel"/>
    <w:tmpl w:val="3C2C57F0"/>
    <w:lvl w:ilvl="0" w:tentative="0">
      <w:start w:val="20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085B1141"/>
    <w:rsid w:val="21FA2A4D"/>
    <w:rsid w:val="23181B9F"/>
    <w:rsid w:val="31EA6D88"/>
    <w:rsid w:val="36393E81"/>
    <w:rsid w:val="388A594F"/>
    <w:rsid w:val="422A1A20"/>
    <w:rsid w:val="4AFC3310"/>
    <w:rsid w:val="4CE51F37"/>
    <w:rsid w:val="4ED54C66"/>
    <w:rsid w:val="55A64F94"/>
    <w:rsid w:val="58473866"/>
    <w:rsid w:val="67C718D1"/>
    <w:rsid w:val="684F2AAF"/>
    <w:rsid w:val="69AF3970"/>
    <w:rsid w:val="6D503E66"/>
    <w:rsid w:val="6E7B46EA"/>
    <w:rsid w:val="6F732867"/>
    <w:rsid w:val="701B1D7B"/>
    <w:rsid w:val="73E55634"/>
    <w:rsid w:val="79D06969"/>
    <w:rsid w:val="7B2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4">
    <w:name w:val="heading 4"/>
    <w:next w:val="3"/>
    <w:unhideWhenUsed/>
    <w:qFormat/>
    <w:uiPriority w:val="9"/>
    <w:pPr>
      <w:numPr>
        <w:ilvl w:val="3"/>
        <w:numId w:val="2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paragraph" w:customStyle="1" w:styleId="14">
    <w:name w:val="样式 加粗 段前: 7.8 磅 段后: 7.8 磅 行距: 固定值 20 磅"/>
    <w:basedOn w:val="1"/>
    <w:qFormat/>
    <w:uiPriority w:val="0"/>
    <w:pPr>
      <w:widowControl w:val="0"/>
      <w:spacing w:before="60" w:after="60" w:line="360" w:lineRule="exact"/>
      <w:jc w:val="both"/>
    </w:pPr>
    <w:rPr>
      <w:rFonts w:ascii="Times New Roman" w:hAnsi="Times New Roman" w:eastAsia="宋体" w:cs="宋体"/>
      <w:b/>
      <w:bCs/>
      <w:spacing w:val="-2"/>
      <w:kern w:val="2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1297</Characters>
  <Lines>0</Lines>
  <Paragraphs>0</Paragraphs>
  <TotalTime>2</TotalTime>
  <ScaleCrop>false</ScaleCrop>
  <LinksUpToDate>false</LinksUpToDate>
  <CharactersWithSpaces>1304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2026-04-10T02:26:04Z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4F4AC81CDFC046FC877FAA103D47EA3C_13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