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595A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、台式溶解氧测定仪（电化学探头法）</w:t>
      </w:r>
    </w:p>
    <w:p w14:paraId="2A761562">
      <w:pPr>
        <w:pStyle w:val="3"/>
        <w:bidi w:val="0"/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主机配置及附件</w:t>
      </w:r>
    </w:p>
    <w:p w14:paraId="6C3A4778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outlineLvl w:val="3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698"/>
        <w:gridCol w:w="1658"/>
      </w:tblGrid>
      <w:tr w14:paraId="65FA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1D92DB2D">
            <w:pPr>
              <w:spacing w:line="480" w:lineRule="auto"/>
              <w:jc w:val="center"/>
              <w:rPr>
                <w:rFonts w:cstheme="minorHAnsi"/>
                <w:b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343" w:type="pct"/>
            <w:vAlign w:val="center"/>
          </w:tcPr>
          <w:p w14:paraId="20281FBD">
            <w:pPr>
              <w:spacing w:line="480" w:lineRule="auto"/>
              <w:jc w:val="center"/>
              <w:rPr>
                <w:rFonts w:cstheme="minorHAnsi"/>
                <w:b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color w:val="auto"/>
                <w:sz w:val="28"/>
                <w:szCs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236DAD08">
            <w:pPr>
              <w:spacing w:line="480" w:lineRule="auto"/>
              <w:jc w:val="center"/>
              <w:rPr>
                <w:rFonts w:cstheme="minorHAnsi"/>
                <w:b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68E6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D8DCF56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</w:t>
            </w:r>
          </w:p>
        </w:tc>
        <w:tc>
          <w:tcPr>
            <w:tcW w:w="3343" w:type="pct"/>
            <w:vAlign w:val="center"/>
          </w:tcPr>
          <w:p w14:paraId="0C3F28A6">
            <w:pPr>
              <w:spacing w:line="480" w:lineRule="auto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溶解氧测定仪</w:t>
            </w:r>
          </w:p>
        </w:tc>
        <w:tc>
          <w:tcPr>
            <w:tcW w:w="973" w:type="pct"/>
            <w:vAlign w:val="center"/>
          </w:tcPr>
          <w:p w14:paraId="103E655B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1台</w:t>
            </w:r>
          </w:p>
        </w:tc>
      </w:tr>
      <w:tr w14:paraId="282E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CEBA32D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2</w:t>
            </w:r>
          </w:p>
        </w:tc>
        <w:tc>
          <w:tcPr>
            <w:tcW w:w="3343" w:type="pct"/>
            <w:vAlign w:val="center"/>
          </w:tcPr>
          <w:p w14:paraId="4180D782">
            <w:pPr>
              <w:spacing w:line="480" w:lineRule="auto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溶解氧电极</w:t>
            </w:r>
          </w:p>
        </w:tc>
        <w:tc>
          <w:tcPr>
            <w:tcW w:w="973" w:type="pct"/>
            <w:vAlign w:val="center"/>
          </w:tcPr>
          <w:p w14:paraId="05368426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1支</w:t>
            </w:r>
          </w:p>
        </w:tc>
      </w:tr>
      <w:tr w14:paraId="769D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20C1B68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3</w:t>
            </w:r>
          </w:p>
        </w:tc>
        <w:tc>
          <w:tcPr>
            <w:tcW w:w="3343" w:type="pct"/>
            <w:vAlign w:val="center"/>
          </w:tcPr>
          <w:p w14:paraId="13689686">
            <w:pPr>
              <w:spacing w:line="480" w:lineRule="auto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多功能电极架</w:t>
            </w:r>
          </w:p>
        </w:tc>
        <w:tc>
          <w:tcPr>
            <w:tcW w:w="973" w:type="pct"/>
            <w:vAlign w:val="center"/>
          </w:tcPr>
          <w:p w14:paraId="3B5856B4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1套</w:t>
            </w:r>
          </w:p>
        </w:tc>
      </w:tr>
      <w:tr w14:paraId="0A15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D153CB3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4</w:t>
            </w:r>
          </w:p>
        </w:tc>
        <w:tc>
          <w:tcPr>
            <w:tcW w:w="3343" w:type="pct"/>
            <w:vAlign w:val="center"/>
          </w:tcPr>
          <w:p w14:paraId="68B1FD54">
            <w:pPr>
              <w:spacing w:line="480" w:lineRule="auto"/>
              <w:jc w:val="left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电源适配器DC 9V(内正外负)</w:t>
            </w:r>
          </w:p>
        </w:tc>
        <w:tc>
          <w:tcPr>
            <w:tcW w:w="973" w:type="pct"/>
            <w:vAlign w:val="center"/>
          </w:tcPr>
          <w:p w14:paraId="2737E0CF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1个</w:t>
            </w:r>
          </w:p>
        </w:tc>
      </w:tr>
      <w:tr w14:paraId="2700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652899B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5</w:t>
            </w:r>
          </w:p>
        </w:tc>
        <w:tc>
          <w:tcPr>
            <w:tcW w:w="3343" w:type="pct"/>
            <w:vAlign w:val="center"/>
          </w:tcPr>
          <w:p w14:paraId="7645014D">
            <w:pPr>
              <w:spacing w:line="480" w:lineRule="auto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32F0542B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1根</w:t>
            </w:r>
          </w:p>
        </w:tc>
      </w:tr>
      <w:tr w14:paraId="01FF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0C95AE0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6</w:t>
            </w:r>
          </w:p>
        </w:tc>
        <w:tc>
          <w:tcPr>
            <w:tcW w:w="3343" w:type="pct"/>
            <w:vAlign w:val="center"/>
          </w:tcPr>
          <w:p w14:paraId="06961AAF">
            <w:pPr>
              <w:spacing w:line="480" w:lineRule="auto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1B2DC0CC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1只</w:t>
            </w:r>
          </w:p>
        </w:tc>
      </w:tr>
      <w:tr w14:paraId="432E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5F91B6A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7</w:t>
            </w:r>
          </w:p>
        </w:tc>
        <w:tc>
          <w:tcPr>
            <w:tcW w:w="3343" w:type="pct"/>
            <w:vAlign w:val="center"/>
          </w:tcPr>
          <w:p w14:paraId="112D6697">
            <w:pPr>
              <w:spacing w:line="480" w:lineRule="auto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5A6840D9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1份</w:t>
            </w:r>
          </w:p>
        </w:tc>
      </w:tr>
      <w:tr w14:paraId="6180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B52A3F4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8</w:t>
            </w:r>
          </w:p>
        </w:tc>
        <w:tc>
          <w:tcPr>
            <w:tcW w:w="3343" w:type="pct"/>
            <w:vAlign w:val="center"/>
          </w:tcPr>
          <w:p w14:paraId="5DF3B13B">
            <w:pPr>
              <w:spacing w:line="480" w:lineRule="auto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05FA31AA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1本</w:t>
            </w:r>
          </w:p>
        </w:tc>
      </w:tr>
      <w:tr w14:paraId="76A3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1AEBF39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9</w:t>
            </w:r>
          </w:p>
        </w:tc>
        <w:tc>
          <w:tcPr>
            <w:tcW w:w="3343" w:type="pct"/>
            <w:vAlign w:val="center"/>
          </w:tcPr>
          <w:p w14:paraId="6FFB3429">
            <w:pPr>
              <w:spacing w:line="480" w:lineRule="auto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软件卡</w:t>
            </w:r>
          </w:p>
        </w:tc>
        <w:tc>
          <w:tcPr>
            <w:tcW w:w="973" w:type="pct"/>
            <w:vAlign w:val="center"/>
          </w:tcPr>
          <w:p w14:paraId="1F66C0B0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1张</w:t>
            </w:r>
          </w:p>
        </w:tc>
      </w:tr>
      <w:tr w14:paraId="327C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E2216E7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10</w:t>
            </w:r>
          </w:p>
        </w:tc>
        <w:tc>
          <w:tcPr>
            <w:tcW w:w="3343" w:type="pct"/>
            <w:vAlign w:val="center"/>
          </w:tcPr>
          <w:p w14:paraId="4018710F">
            <w:pPr>
              <w:spacing w:line="480" w:lineRule="auto"/>
              <w:ind w:right="46" w:rightChars="22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33C166F3">
            <w:pPr>
              <w:spacing w:line="480" w:lineRule="auto"/>
              <w:jc w:val="center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>1份</w:t>
            </w:r>
          </w:p>
        </w:tc>
      </w:tr>
    </w:tbl>
    <w:p w14:paraId="03BF1D0D">
      <w:pPr>
        <w:spacing w:line="480" w:lineRule="auto"/>
        <w:rPr>
          <w:rFonts w:hint="default"/>
          <w:color w:val="auto"/>
          <w:lang w:val="en-US" w:eastAsia="zh-CN"/>
        </w:rPr>
      </w:pPr>
    </w:p>
    <w:p w14:paraId="42B292ED">
      <w:pPr>
        <w:pStyle w:val="3"/>
        <w:bidi w:val="0"/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主要特点</w:t>
      </w:r>
    </w:p>
    <w:p w14:paraId="3BB673F0">
      <w:pPr>
        <w:widowControl/>
        <w:numPr>
          <w:ilvl w:val="0"/>
          <w:numId w:val="0"/>
        </w:numPr>
        <w:spacing w:line="480" w:lineRule="auto"/>
        <w:ind w:left="360" w:leftChars="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2.1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采用彩色高清液晶屏幕，显示清晰</w:t>
      </w:r>
    </w:p>
    <w:p w14:paraId="542E363B">
      <w:pPr>
        <w:pStyle w:val="15"/>
        <w:numPr>
          <w:ilvl w:val="0"/>
          <w:numId w:val="0"/>
        </w:numPr>
        <w:spacing w:line="480" w:lineRule="auto"/>
        <w:ind w:left="360"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温度单位可选：℃ 和 °F。</w:t>
      </w:r>
    </w:p>
    <w:p w14:paraId="66F71504">
      <w:pPr>
        <w:pStyle w:val="15"/>
        <w:numPr>
          <w:ilvl w:val="0"/>
          <w:numId w:val="0"/>
        </w:numPr>
        <w:spacing w:line="480" w:lineRule="auto"/>
        <w:ind w:left="360"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支持开机自诊断、自动关机、断电保护和恢复出厂设置等功能</w:t>
      </w:r>
    </w:p>
    <w:p w14:paraId="272B7B5B">
      <w:pPr>
        <w:pStyle w:val="15"/>
        <w:numPr>
          <w:ilvl w:val="0"/>
          <w:numId w:val="0"/>
        </w:numPr>
        <w:spacing w:line="480" w:lineRule="auto"/>
        <w:ind w:left="360"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支持固件升级功能，允许功能扩展和个性化要求</w:t>
      </w:r>
    </w:p>
    <w:p w14:paraId="251347E5">
      <w:pPr>
        <w:pStyle w:val="15"/>
        <w:numPr>
          <w:ilvl w:val="0"/>
          <w:numId w:val="0"/>
        </w:numPr>
        <w:spacing w:line="480" w:lineRule="auto"/>
        <w:ind w:left="360"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支持IP54防护等级</w:t>
      </w:r>
    </w:p>
    <w:p w14:paraId="3B7F5A45">
      <w:pPr>
        <w:pStyle w:val="15"/>
        <w:numPr>
          <w:ilvl w:val="0"/>
          <w:numId w:val="0"/>
        </w:numPr>
        <w:spacing w:line="480" w:lineRule="auto"/>
        <w:ind w:left="360"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标配极谱法溶解氧电极、电极支架、防尘罩</w:t>
      </w:r>
    </w:p>
    <w:p w14:paraId="4CA4DFDA">
      <w:pPr>
        <w:widowControl/>
        <w:numPr>
          <w:ilvl w:val="0"/>
          <w:numId w:val="0"/>
        </w:numPr>
        <w:spacing w:line="480" w:lineRule="auto"/>
        <w:ind w:left="360" w:leftChars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2.7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智能判别终点，支持自动读数、定时读数、定时间隔读数、手动读数</w:t>
      </w:r>
    </w:p>
    <w:p w14:paraId="137FF933">
      <w:pPr>
        <w:widowControl/>
        <w:numPr>
          <w:ilvl w:val="0"/>
          <w:numId w:val="0"/>
        </w:numPr>
        <w:spacing w:line="480" w:lineRule="auto"/>
        <w:ind w:left="360" w:leftChars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■2.8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支持自动温度补偿、自动大气压补偿（kPa、mmHg、atm多种单位可选）</w:t>
      </w:r>
    </w:p>
    <w:p w14:paraId="24F15B4B">
      <w:pPr>
        <w:widowControl/>
        <w:numPr>
          <w:ilvl w:val="0"/>
          <w:numId w:val="0"/>
        </w:numPr>
        <w:spacing w:line="480" w:lineRule="auto"/>
        <w:ind w:left="360" w:leftChars="0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■2.9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自动零氧标定和满度标定</w:t>
      </w:r>
    </w:p>
    <w:p w14:paraId="2445FF18">
      <w:pPr>
        <w:widowControl/>
        <w:numPr>
          <w:ilvl w:val="0"/>
          <w:numId w:val="0"/>
        </w:numPr>
        <w:spacing w:line="480" w:lineRule="auto"/>
        <w:ind w:left="360" w:leftChars="0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2.10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支持手动盐度补偿</w:t>
      </w:r>
    </w:p>
    <w:p w14:paraId="4A47AC06">
      <w:pPr>
        <w:widowControl/>
        <w:numPr>
          <w:ilvl w:val="0"/>
          <w:numId w:val="0"/>
        </w:numPr>
        <w:spacing w:line="480" w:lineRule="auto"/>
        <w:ind w:left="420" w:left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2.11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支持数据存储（各500套）、查阅、删除、传输和打印</w:t>
      </w:r>
    </w:p>
    <w:p w14:paraId="1C71093F">
      <w:pPr>
        <w:widowControl/>
        <w:numPr>
          <w:ilvl w:val="0"/>
          <w:numId w:val="0"/>
        </w:numPr>
        <w:spacing w:line="480" w:lineRule="auto"/>
        <w:ind w:left="420" w:leftChar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2.22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符合GLP，实现数据追溯</w:t>
      </w:r>
    </w:p>
    <w:p w14:paraId="36A64066">
      <w:pPr>
        <w:widowControl/>
        <w:numPr>
          <w:ilvl w:val="0"/>
          <w:numId w:val="0"/>
        </w:numPr>
        <w:spacing w:line="480" w:lineRule="auto"/>
        <w:ind w:left="420" w:left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2.23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具有RS-232接口，支持连接标准RS-232串口打印机，直接打印测量结果，打印格式可选</w:t>
      </w:r>
    </w:p>
    <w:p w14:paraId="6DA7C18F">
      <w:pPr>
        <w:widowControl/>
        <w:numPr>
          <w:ilvl w:val="0"/>
          <w:numId w:val="0"/>
        </w:numPr>
        <w:spacing w:line="480" w:lineRule="auto"/>
        <w:ind w:left="420" w:left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2.24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具有USB接口，通过专用通信软件与PC连接，实现数据传输</w:t>
      </w:r>
    </w:p>
    <w:p w14:paraId="51A70E22">
      <w:pPr>
        <w:pStyle w:val="3"/>
        <w:bidi w:val="0"/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技术参数</w:t>
      </w:r>
    </w:p>
    <w:tbl>
      <w:tblPr>
        <w:tblStyle w:val="12"/>
        <w:tblW w:w="500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710"/>
        <w:gridCol w:w="4553"/>
      </w:tblGrid>
      <w:tr w14:paraId="336A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3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4303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theme="minorHAnsi"/>
                <w:color w:val="auto"/>
                <w:kern w:val="0"/>
                <w:sz w:val="18"/>
                <w:szCs w:val="18"/>
                <w:lang w:bidi="ar"/>
              </w:rPr>
              <w:t>测量参数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33A1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theme="minorHAnsi"/>
                <w:color w:val="auto"/>
                <w:kern w:val="0"/>
                <w:sz w:val="18"/>
                <w:szCs w:val="18"/>
                <w:lang w:bidi="ar"/>
              </w:rPr>
              <w:t>溶解氧浓度、溶解氧饱和度和温度值</w:t>
            </w:r>
          </w:p>
        </w:tc>
      </w:tr>
      <w:tr w14:paraId="499E3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6B39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theme="minorHAnsi"/>
                <w:color w:val="auto"/>
                <w:kern w:val="0"/>
                <w:sz w:val="18"/>
                <w:szCs w:val="18"/>
                <w:lang w:bidi="ar"/>
              </w:rPr>
              <w:t>溶解氧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293A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范围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80D0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theme="minorHAnsi"/>
                <w:color w:val="auto"/>
                <w:kern w:val="0"/>
                <w:sz w:val="18"/>
                <w:szCs w:val="18"/>
                <w:lang w:bidi="ar"/>
              </w:rPr>
              <w:t>电子单元：(0.00～99.99)mg/L</w:t>
            </w:r>
          </w:p>
          <w:p w14:paraId="7BBDA912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theme="minorHAnsi"/>
                <w:color w:val="auto"/>
                <w:kern w:val="0"/>
                <w:sz w:val="18"/>
                <w:szCs w:val="18"/>
                <w:lang w:bidi="ar"/>
              </w:rPr>
              <w:t>配套范围：(0.00～50.00)mg/L</w:t>
            </w:r>
          </w:p>
        </w:tc>
      </w:tr>
      <w:tr w14:paraId="3B283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E937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EA41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最小分辨率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DE84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0.01 mg/L</w:t>
            </w:r>
          </w:p>
        </w:tc>
      </w:tr>
      <w:tr w14:paraId="27056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6601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3223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电子单元示值误差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50F3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±0.10mg/L</w:t>
            </w:r>
          </w:p>
        </w:tc>
      </w:tr>
      <w:tr w14:paraId="1E8BF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087A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5792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仪器示值误差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47C0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theme="minorHAnsi"/>
                <w:color w:val="auto"/>
                <w:kern w:val="0"/>
                <w:sz w:val="18"/>
                <w:szCs w:val="18"/>
                <w:lang w:bidi="ar"/>
              </w:rPr>
              <w:t>±0.30mg/L（≤ 20.00mg/L）</w:t>
            </w:r>
          </w:p>
          <w:p w14:paraId="6E089A3C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theme="minorHAnsi"/>
                <w:color w:val="auto"/>
                <w:kern w:val="0"/>
                <w:sz w:val="18"/>
                <w:szCs w:val="18"/>
                <w:lang w:bidi="ar"/>
              </w:rPr>
              <w:t>±10.0%（＞ 20.00mg/L）</w:t>
            </w:r>
          </w:p>
        </w:tc>
      </w:tr>
      <w:tr w14:paraId="5518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A688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F0A2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响应时间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816E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 xml:space="preserve">≤45s(20.0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时90%响应)</w:t>
            </w:r>
          </w:p>
        </w:tc>
      </w:tr>
      <w:tr w14:paraId="00B11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D375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F77E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盐度补偿误差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660C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±2%</w:t>
            </w:r>
          </w:p>
        </w:tc>
      </w:tr>
      <w:tr w14:paraId="4217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78DC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theme="minorHAnsi"/>
                <w:color w:val="auto"/>
                <w:kern w:val="0"/>
                <w:sz w:val="18"/>
                <w:szCs w:val="18"/>
                <w:lang w:bidi="ar"/>
              </w:rPr>
              <w:t>饱和度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3F8D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范围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89E1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(0.0～600.0)%</w:t>
            </w:r>
          </w:p>
        </w:tc>
      </w:tr>
      <w:tr w14:paraId="5AE1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2591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54AE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最小分辨率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0920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0.1%</w:t>
            </w:r>
          </w:p>
        </w:tc>
      </w:tr>
      <w:tr w14:paraId="43DD4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2E12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2049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 xml:space="preserve">电子单元示值误差 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3907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±2.0%</w:t>
            </w:r>
          </w:p>
        </w:tc>
      </w:tr>
      <w:tr w14:paraId="4453D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BF83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0B64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仪器示值误差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A8D3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±10.0%</w:t>
            </w:r>
          </w:p>
        </w:tc>
      </w:tr>
      <w:tr w14:paraId="5F8E6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B7C3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theme="minorHAnsi"/>
                <w:color w:val="auto"/>
                <w:kern w:val="0"/>
                <w:sz w:val="18"/>
                <w:szCs w:val="18"/>
                <w:lang w:bidi="ar"/>
              </w:rPr>
              <w:t>温度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4A3E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范围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7F08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(-10.0～135.0)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/(14.0-275.0)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bidi="ar"/>
              </w:rPr>
              <w:t>℉</w:t>
            </w:r>
          </w:p>
        </w:tc>
      </w:tr>
      <w:tr w14:paraId="40E71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270D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3C20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最小分辨率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CA80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 xml:space="preserve">0.1 </w:t>
            </w:r>
            <w:r>
              <w:rPr>
                <w:rFonts w:hint="eastAsia" w:cstheme="minorHAnsi"/>
                <w:color w:val="auto"/>
                <w:kern w:val="0"/>
                <w:sz w:val="18"/>
                <w:szCs w:val="18"/>
                <w:lang w:bidi="ar"/>
              </w:rPr>
              <w:t>℃/</w:t>
            </w: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0.1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bidi="ar"/>
              </w:rPr>
              <w:t>℉</w:t>
            </w:r>
          </w:p>
        </w:tc>
      </w:tr>
      <w:tr w14:paraId="3BB02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35A0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46FF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电子单元示值误差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AB01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 xml:space="preserve">±0.1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bidi="ar"/>
              </w:rPr>
              <w:t>℃</w:t>
            </w:r>
          </w:p>
        </w:tc>
      </w:tr>
      <w:tr w14:paraId="683EB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E482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3B9B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仪器的示值误差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0063">
            <w:pPr>
              <w:widowControl/>
              <w:spacing w:line="480" w:lineRule="auto"/>
              <w:jc w:val="center"/>
              <w:textAlignment w:val="center"/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±0.3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（0.0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-60.0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 xml:space="preserve">）；±1.0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cstheme="minorHAnsi"/>
                <w:color w:val="auto"/>
                <w:kern w:val="0"/>
                <w:sz w:val="18"/>
                <w:szCs w:val="18"/>
                <w:lang w:bidi="ar"/>
              </w:rPr>
              <w:t>（其他范围）</w:t>
            </w:r>
          </w:p>
        </w:tc>
      </w:tr>
    </w:tbl>
    <w:p w14:paraId="788956F4">
      <w:pPr>
        <w:numPr>
          <w:ilvl w:val="0"/>
          <w:numId w:val="0"/>
        </w:numPr>
        <w:jc w:val="both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3E0F540F"/>
    <w:multiLevelType w:val="multilevel"/>
    <w:tmpl w:val="3E0F540F"/>
    <w:lvl w:ilvl="0" w:tentative="0">
      <w:start w:val="1"/>
      <w:numFmt w:val="bullet"/>
      <w:pStyle w:val="22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FZHTK--GBK1-0" w:hAnsi="FZHTK--GBK1-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FZHTK--GBK1-0" w:hAnsi="FZHTK--GBK1-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FZHTK--GBK1-0" w:hAnsi="FZHTK--GBK1-0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FZHTK--GBK1-0" w:hAnsi="FZHTK--GBK1-0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FZHTK--GBK1-0" w:hAnsi="FZHTK--GBK1-0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FZHTK--GBK1-0" w:hAnsi="FZHTK--GBK1-0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FZHTK--GBK1-0" w:hAnsi="FZHTK--GBK1-0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FZHTK--GBK1-0" w:hAnsi="FZHTK--GBK1-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03C36EF"/>
    <w:rsid w:val="004E6E8D"/>
    <w:rsid w:val="03312448"/>
    <w:rsid w:val="03736735"/>
    <w:rsid w:val="07AF6AAA"/>
    <w:rsid w:val="085B1141"/>
    <w:rsid w:val="21FA2A4D"/>
    <w:rsid w:val="23181B9F"/>
    <w:rsid w:val="235D2694"/>
    <w:rsid w:val="31B04D12"/>
    <w:rsid w:val="36393E81"/>
    <w:rsid w:val="388A594F"/>
    <w:rsid w:val="3D3D4FC4"/>
    <w:rsid w:val="422A1A20"/>
    <w:rsid w:val="4AFC3310"/>
    <w:rsid w:val="4CE51F37"/>
    <w:rsid w:val="4ED54C66"/>
    <w:rsid w:val="55A64F94"/>
    <w:rsid w:val="5AD4522D"/>
    <w:rsid w:val="67C718D1"/>
    <w:rsid w:val="684F2AAF"/>
    <w:rsid w:val="69AF3970"/>
    <w:rsid w:val="6D503E66"/>
    <w:rsid w:val="6F732867"/>
    <w:rsid w:val="701B1D7B"/>
    <w:rsid w:val="73E55634"/>
    <w:rsid w:val="794D1059"/>
    <w:rsid w:val="79D06969"/>
    <w:rsid w:val="7B203D0C"/>
    <w:rsid w:val="7CD235CD"/>
    <w:rsid w:val="7F7A5A9C"/>
    <w:rsid w:val="7F8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="Times New Roman"/>
      <w:b/>
      <w:bCs/>
      <w:sz w:val="32"/>
      <w:szCs w:val="32"/>
    </w:rPr>
  </w:style>
  <w:style w:type="paragraph" w:styleId="3">
    <w:name w:val="heading 3"/>
    <w:basedOn w:val="1"/>
    <w:next w:val="4"/>
    <w:link w:val="17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4"/>
    <w:next w:val="4"/>
    <w:unhideWhenUsed/>
    <w:qFormat/>
    <w:uiPriority w:val="9"/>
    <w:pPr>
      <w:numPr>
        <w:ilvl w:val="3"/>
        <w:numId w:val="2"/>
      </w:numPr>
      <w:adjustRightInd w:val="0"/>
      <w:snapToGrid w:val="0"/>
      <w:spacing w:before="100" w:beforeLines="100" w:after="50" w:afterLines="50" w:line="288" w:lineRule="auto"/>
      <w:ind w:left="0" w:firstLine="0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qFormat/>
    <w:uiPriority w:val="0"/>
    <w:pPr>
      <w:ind w:left="0" w:leftChars="0" w:firstLine="420"/>
    </w:pPr>
  </w:style>
  <w:style w:type="table" w:styleId="13">
    <w:name w:val="Table Grid"/>
    <w:basedOn w:val="1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产品手册——表"/>
    <w:qFormat/>
    <w:uiPriority w:val="0"/>
    <w:pPr>
      <w:adjustRightInd w:val="0"/>
      <w:snapToGrid w:val="0"/>
      <w:spacing w:before="20" w:beforeLines="20" w:after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character" w:customStyle="1" w:styleId="17">
    <w:name w:val="标题 3 Char"/>
    <w:link w:val="3"/>
    <w:qFormat/>
    <w:uiPriority w:val="9"/>
    <w:rPr>
      <w:rFonts w:ascii="黑体" w:hAnsi="黑体" w:eastAsia="黑体"/>
      <w:b/>
      <w:bCs/>
      <w:sz w:val="30"/>
      <w:szCs w:val="30"/>
    </w:r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1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0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LC主要特点"/>
    <w:basedOn w:val="1"/>
    <w:qFormat/>
    <w:uiPriority w:val="0"/>
    <w:pPr>
      <w:outlineLvl w:val="3"/>
    </w:pPr>
    <w:rPr>
      <w:rFonts w:ascii="Arial Unicode MS" w:hAnsi="Arial Unicode MS" w:eastAsia="微软雅黑"/>
      <w:b/>
    </w:rPr>
  </w:style>
  <w:style w:type="paragraph" w:customStyle="1" w:styleId="22">
    <w:name w:val="LC 文字内容 带符号编码"/>
    <w:next w:val="1"/>
    <w:qFormat/>
    <w:uiPriority w:val="0"/>
    <w:pPr>
      <w:numPr>
        <w:ilvl w:val="0"/>
        <w:numId w:val="3"/>
      </w:numPr>
      <w:adjustRightInd w:val="0"/>
      <w:snapToGrid w:val="0"/>
      <w:spacing w:before="0" w:beforeLines="0" w:after="0" w:afterLines="0"/>
      <w:ind w:left="840" w:leftChars="200"/>
      <w:jc w:val="both"/>
      <w:outlineLvl w:val="9"/>
    </w:pPr>
    <w:rPr>
      <w:rFonts w:ascii="微软雅黑" w:hAnsi="微软雅黑" w:eastAsia="微软雅黑" w:cs="Times New Roman"/>
      <w:sz w:val="21"/>
      <w:lang w:val="en-US" w:eastAsia="zh-CN" w:bidi="ar-SA"/>
    </w:rPr>
  </w:style>
  <w:style w:type="paragraph" w:customStyle="1" w:styleId="23">
    <w:name w:val="LC文字内容 空2格"/>
    <w:basedOn w:val="1"/>
    <w:qFormat/>
    <w:uiPriority w:val="0"/>
    <w:pPr>
      <w:numPr>
        <w:ilvl w:val="0"/>
        <w:numId w:val="0"/>
      </w:numPr>
      <w:spacing w:beforeLines="0" w:afterLines="0" w:line="240" w:lineRule="auto"/>
      <w:ind w:left="0" w:leftChars="0" w:firstLine="420"/>
      <w:outlineLvl w:val="9"/>
    </w:pPr>
    <w:rPr>
      <w:rFonts w:ascii="微软雅黑" w:hAnsi="微软雅黑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899</Characters>
  <Lines>0</Lines>
  <Paragraphs>0</Paragraphs>
  <TotalTime>1</TotalTime>
  <ScaleCrop>false</ScaleCrop>
  <LinksUpToDate>false</LinksUpToDate>
  <CharactersWithSpaces>910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2026-04-07T05:37:23Z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E9FFAF4FD8544EFBB85EC185D9AEA5F6_13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