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826E2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22、原子荧光分光光度计</w:t>
      </w:r>
    </w:p>
    <w:p w14:paraId="13969B0A">
      <w:pPr>
        <w:adjustRightInd w:val="0"/>
        <w:snapToGrid w:val="0"/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一、适用领域:</w:t>
      </w:r>
    </w:p>
    <w:p w14:paraId="6C2EA098">
      <w:pPr>
        <w:adjustRightInd w:val="0"/>
        <w:snapToGrid w:val="0"/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对样品中的As、Sb、Bi、Hg、Se、Te、Sn、Ge、Pb、Zn、Cd、Au等十二种元素的痕量分析及升级后对As、Hg、Se等元素的形态、价态测定</w:t>
      </w:r>
    </w:p>
    <w:p w14:paraId="5E349EC4">
      <w:pPr>
        <w:adjustRightInd w:val="0"/>
        <w:snapToGrid w:val="0"/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二、工作条件: </w:t>
      </w:r>
    </w:p>
    <w:p w14:paraId="3C023306">
      <w:pPr>
        <w:adjustRightInd w:val="0"/>
        <w:snapToGrid w:val="0"/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1、电源: 220V±10%, 50Hz</w:t>
      </w:r>
    </w:p>
    <w:p w14:paraId="462FB57E">
      <w:pPr>
        <w:adjustRightInd w:val="0"/>
        <w:snapToGrid w:val="0"/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2、环境温度: 0-45</w:t>
      </w:r>
      <w:r>
        <w:rPr>
          <w:rFonts w:hint="eastAsia" w:ascii="宋体" w:hAnsi="宋体" w:eastAsia="宋体"/>
          <w:sz w:val="24"/>
        </w:rPr>
        <w:sym w:font="Courier New" w:char="00B0"/>
      </w:r>
      <w:r>
        <w:rPr>
          <w:rFonts w:hint="eastAsia" w:ascii="宋体" w:hAnsi="宋体" w:eastAsia="宋体"/>
          <w:sz w:val="24"/>
        </w:rPr>
        <w:t>C</w:t>
      </w:r>
    </w:p>
    <w:p w14:paraId="79483A65">
      <w:pPr>
        <w:adjustRightInd w:val="0"/>
        <w:snapToGrid w:val="0"/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3、相对湿度: ≤90%</w:t>
      </w:r>
    </w:p>
    <w:p w14:paraId="487D53D4">
      <w:pPr>
        <w:adjustRightInd w:val="0"/>
        <w:snapToGrid w:val="0"/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三、仪器技术参数要求:</w:t>
      </w:r>
    </w:p>
    <w:p w14:paraId="5B7B734E">
      <w:pPr>
        <w:adjustRightInd w:val="0"/>
        <w:snapToGrid w:val="0"/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1、检出限(D.L.): As、Pb、Se、Bi、Sn、Sb、Te＜ 0.01µg/L ;Hg、Cd＜0.001µg/L Ge＜0.05µg/L Zn＜1.0µg/L Au＜3.0µg/L</w:t>
      </w:r>
    </w:p>
    <w:p w14:paraId="304B1D8B">
      <w:pPr>
        <w:adjustRightInd w:val="0"/>
        <w:snapToGrid w:val="0"/>
        <w:spacing w:line="360" w:lineRule="auto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sz w:val="24"/>
        </w:rPr>
        <w:t>■2、</w:t>
      </w:r>
      <w:r>
        <w:rPr>
          <w:rFonts w:hint="eastAsia" w:ascii="宋体" w:hAnsi="宋体" w:eastAsia="宋体"/>
          <w:sz w:val="24"/>
          <w:lang w:val="zh-CN"/>
        </w:rPr>
        <w:t>精密度</w:t>
      </w:r>
      <w:r>
        <w:rPr>
          <w:rFonts w:hint="eastAsia" w:ascii="宋体" w:hAnsi="宋体" w:eastAsia="宋体"/>
          <w:sz w:val="24"/>
        </w:rPr>
        <w:t>（RSD）＜ 0.6％</w:t>
      </w:r>
    </w:p>
    <w:p w14:paraId="69552E37">
      <w:pPr>
        <w:adjustRightInd w:val="0"/>
        <w:snapToGrid w:val="0"/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3、线性范围: 大于三个数量级</w:t>
      </w:r>
    </w:p>
    <w:p w14:paraId="515CF097">
      <w:pPr>
        <w:adjustRightInd w:val="0"/>
        <w:snapToGrid w:val="0"/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▲</w:t>
      </w:r>
      <w:r>
        <w:rPr>
          <w:rFonts w:hint="eastAsia" w:ascii="宋体" w:hAnsi="宋体" w:eastAsia="宋体"/>
          <w:sz w:val="24"/>
        </w:rPr>
        <w:t>4、样品测量速度：＜50秒/样（顺序注射泵进样）</w:t>
      </w:r>
    </w:p>
    <w:p w14:paraId="17FFBF24">
      <w:pPr>
        <w:adjustRightInd w:val="0"/>
        <w:snapToGrid w:val="0"/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四、仪器性能要求:</w:t>
      </w:r>
    </w:p>
    <w:p w14:paraId="375CB0CA">
      <w:pPr>
        <w:adjustRightInd w:val="0"/>
        <w:snapToGrid w:val="0"/>
        <w:spacing w:line="360" w:lineRule="auto"/>
        <w:rPr>
          <w:rFonts w:ascii="宋体" w:hAnsi="宋体" w:eastAsia="宋体"/>
          <w:sz w:val="24"/>
          <w:lang w:val="zh-CN"/>
        </w:rPr>
      </w:pPr>
      <w:r>
        <w:rPr>
          <w:rFonts w:hint="eastAsia" w:ascii="宋体" w:hAnsi="宋体" w:eastAsia="宋体"/>
          <w:sz w:val="24"/>
        </w:rPr>
        <w:t>1、</w:t>
      </w:r>
      <w:r>
        <w:rPr>
          <w:rFonts w:hint="eastAsia" w:ascii="宋体" w:hAnsi="宋体" w:eastAsia="宋体"/>
          <w:sz w:val="24"/>
          <w:lang w:val="zh-CN"/>
        </w:rPr>
        <w:t>检测通道：双通道，可单元素测定，也可双元素同时测定；</w:t>
      </w:r>
    </w:p>
    <w:p w14:paraId="5773C27D">
      <w:pPr>
        <w:adjustRightInd w:val="0"/>
        <w:snapToGrid w:val="0"/>
        <w:spacing w:line="360" w:lineRule="auto"/>
        <w:rPr>
          <w:rFonts w:ascii="宋体" w:hAnsi="宋体" w:eastAsia="宋体"/>
          <w:sz w:val="24"/>
          <w:lang w:val="zh-CN"/>
        </w:rPr>
      </w:pPr>
      <w:r>
        <w:rPr>
          <w:rFonts w:hint="eastAsia" w:ascii="宋体" w:hAnsi="宋体" w:eastAsia="宋体"/>
          <w:sz w:val="24"/>
        </w:rPr>
        <w:t>2、配有多通道合并光谱化学分析装置和模块，用于超低含量的微量样品的测定</w:t>
      </w:r>
    </w:p>
    <w:p w14:paraId="0F49ED04">
      <w:pPr>
        <w:adjustRightInd w:val="0"/>
        <w:snapToGrid w:val="0"/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zh-CN"/>
        </w:rPr>
        <w:t>3</w:t>
      </w:r>
      <w:r>
        <w:rPr>
          <w:rFonts w:hint="eastAsia" w:ascii="宋体" w:hAnsi="宋体" w:eastAsia="宋体"/>
          <w:sz w:val="24"/>
        </w:rPr>
        <w:t>、</w:t>
      </w:r>
      <w:r>
        <w:rPr>
          <w:rFonts w:hint="eastAsia" w:ascii="宋体" w:hAnsi="宋体" w:eastAsia="宋体"/>
          <w:sz w:val="24"/>
          <w:lang w:val="zh-CN"/>
        </w:rPr>
        <w:t>光源系统：智能高强度空芯阴极灯，内置存储芯片，元素类型自动识别，支持元素灯使用寿命计时；高强度</w:t>
      </w:r>
      <w:r>
        <w:rPr>
          <w:rFonts w:hint="eastAsia" w:ascii="宋体" w:hAnsi="宋体" w:eastAsia="宋体"/>
          <w:sz w:val="24"/>
        </w:rPr>
        <w:t>空芯阴极</w:t>
      </w:r>
      <w:r>
        <w:rPr>
          <w:rFonts w:hint="eastAsia" w:ascii="宋体" w:hAnsi="宋体" w:eastAsia="宋体"/>
          <w:sz w:val="24"/>
          <w:u w:val="wave"/>
        </w:rPr>
        <w:t>灯采</w:t>
      </w:r>
      <w:r>
        <w:rPr>
          <w:rFonts w:hint="eastAsia" w:ascii="宋体" w:hAnsi="宋体" w:eastAsia="宋体"/>
          <w:sz w:val="24"/>
        </w:rPr>
        <w:t>用新式恒流驱动-脉冲调制供电方式，双道自动激发启辉，</w:t>
      </w:r>
    </w:p>
    <w:p w14:paraId="4DC0ECDF">
      <w:pPr>
        <w:adjustRightInd w:val="0"/>
        <w:snapToGrid w:val="0"/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■4、具有通道间干扰及空芯阴极</w:t>
      </w:r>
      <w:r>
        <w:rPr>
          <w:rFonts w:hint="eastAsia" w:ascii="宋体" w:hAnsi="宋体" w:eastAsia="宋体"/>
          <w:sz w:val="24"/>
          <w:u w:val="wave"/>
        </w:rPr>
        <w:t>灯</w:t>
      </w:r>
      <w:r>
        <w:rPr>
          <w:rFonts w:hint="eastAsia" w:ascii="宋体" w:hAnsi="宋体" w:eastAsia="宋体"/>
          <w:sz w:val="24"/>
        </w:rPr>
        <w:t>漂移脉动实时自动扣除功能</w:t>
      </w:r>
    </w:p>
    <w:p w14:paraId="778BC51F">
      <w:pPr>
        <w:adjustRightInd w:val="0"/>
        <w:snapToGrid w:val="0"/>
        <w:spacing w:line="360" w:lineRule="auto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sz w:val="24"/>
        </w:rPr>
        <w:t>5、光学系统：短焦距透镜聚光，</w:t>
      </w:r>
      <w:r>
        <w:rPr>
          <w:rFonts w:hint="eastAsia" w:ascii="宋体" w:hAnsi="宋体" w:eastAsia="宋体"/>
          <w:color w:val="000000"/>
          <w:sz w:val="24"/>
        </w:rPr>
        <w:t>新型</w:t>
      </w:r>
      <w:r>
        <w:rPr>
          <w:rFonts w:hint="eastAsia" w:ascii="宋体" w:hAnsi="宋体" w:eastAsia="宋体"/>
          <w:sz w:val="24"/>
        </w:rPr>
        <w:t>无色散</w:t>
      </w:r>
      <w:r>
        <w:rPr>
          <w:rFonts w:hint="eastAsia" w:ascii="宋体" w:hAnsi="宋体" w:eastAsia="宋体"/>
          <w:color w:val="000000"/>
          <w:sz w:val="24"/>
        </w:rPr>
        <w:t>全密闭避光调光系统</w:t>
      </w:r>
    </w:p>
    <w:p w14:paraId="15DAAA8A">
      <w:pPr>
        <w:adjustRightInd w:val="0"/>
        <w:snapToGrid w:val="0"/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▲</w:t>
      </w:r>
      <w:r>
        <w:rPr>
          <w:rFonts w:hint="eastAsia" w:ascii="宋体" w:hAnsi="宋体" w:eastAsia="宋体"/>
          <w:color w:val="000000"/>
          <w:sz w:val="24"/>
        </w:rPr>
        <w:t>6、具有</w:t>
      </w:r>
      <w:r>
        <w:rPr>
          <w:rFonts w:hint="eastAsia" w:ascii="宋体" w:hAnsi="宋体" w:eastAsia="宋体"/>
          <w:sz w:val="24"/>
        </w:rPr>
        <w:t>双光束双检测器光源漂移校准功能，光源能量实时校准并动态调节；■7、汞灯光源自动控制模式，精确量化并自动调节汞灯能量。</w:t>
      </w:r>
    </w:p>
    <w:p w14:paraId="61836357">
      <w:pPr>
        <w:adjustRightInd w:val="0"/>
        <w:snapToGrid w:val="0"/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8</w:t>
      </w:r>
      <w:r>
        <w:rPr>
          <w:rFonts w:hint="eastAsia" w:ascii="宋体" w:hAnsi="宋体" w:eastAsia="宋体"/>
          <w:sz w:val="24"/>
          <w:lang w:val="zh-CN"/>
        </w:rPr>
        <w:t>、原子化系统：</w:t>
      </w:r>
      <w:r>
        <w:rPr>
          <w:rFonts w:hint="eastAsia" w:ascii="宋体" w:hAnsi="宋体" w:eastAsia="宋体"/>
          <w:sz w:val="24"/>
        </w:rPr>
        <w:t>采用新型高效屏蔽式低温点火石英原子化器，根据所测不同元素设定最佳炉高。</w:t>
      </w:r>
    </w:p>
    <w:p w14:paraId="61AE2D74">
      <w:pPr>
        <w:adjustRightInd w:val="0"/>
        <w:snapToGrid w:val="0"/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▲</w:t>
      </w:r>
      <w:r>
        <w:rPr>
          <w:rStyle w:val="18"/>
          <w:rFonts w:hint="eastAsia" w:ascii="宋体" w:hAnsi="宋体" w:eastAsia="宋体" w:cs="宋体"/>
          <w:sz w:val="24"/>
          <w:szCs w:val="24"/>
        </w:rPr>
        <w:t>9、</w:t>
      </w:r>
      <w:r>
        <w:rPr>
          <w:rFonts w:hint="eastAsia" w:ascii="宋体" w:hAnsi="宋体" w:eastAsia="宋体"/>
          <w:sz w:val="24"/>
        </w:rPr>
        <w:t>进样系统：采用全自动</w:t>
      </w:r>
      <w:r>
        <w:rPr>
          <w:rFonts w:ascii="宋体" w:hAnsi="宋体" w:eastAsia="宋体"/>
          <w:sz w:val="24"/>
        </w:rPr>
        <w:t>顺序注射</w:t>
      </w:r>
      <w:r>
        <w:rPr>
          <w:rFonts w:hint="eastAsia" w:ascii="宋体" w:hAnsi="宋体" w:eastAsia="宋体"/>
          <w:sz w:val="24"/>
        </w:rPr>
        <w:t>和全自动断续流动双模式进样系统</w:t>
      </w:r>
      <w:r>
        <w:rPr>
          <w:rFonts w:ascii="宋体" w:hAnsi="宋体" w:eastAsia="宋体"/>
          <w:sz w:val="24"/>
        </w:rPr>
        <w:t>，</w:t>
      </w:r>
      <w:r>
        <w:rPr>
          <w:rFonts w:hint="eastAsia" w:ascii="宋体" w:hAnsi="宋体" w:eastAsia="宋体"/>
          <w:sz w:val="24"/>
        </w:rPr>
        <w:t>采用进口</w:t>
      </w:r>
      <w:r>
        <w:rPr>
          <w:rFonts w:ascii="宋体" w:hAnsi="宋体" w:eastAsia="宋体"/>
          <w:sz w:val="24"/>
        </w:rPr>
        <w:t>注射泵</w:t>
      </w:r>
      <w:r>
        <w:rPr>
          <w:rFonts w:hint="eastAsia" w:ascii="宋体" w:hAnsi="宋体" w:eastAsia="宋体"/>
          <w:sz w:val="24"/>
        </w:rPr>
        <w:t>，进样精度</w:t>
      </w:r>
      <w:r>
        <w:rPr>
          <w:rFonts w:ascii="宋体" w:hAnsi="宋体" w:eastAsia="宋体"/>
          <w:sz w:val="24"/>
        </w:rPr>
        <w:t>达到µl级精确进样</w:t>
      </w:r>
      <w:r>
        <w:rPr>
          <w:rFonts w:hint="eastAsia" w:ascii="宋体" w:hAnsi="宋体" w:eastAsia="宋体"/>
          <w:sz w:val="24"/>
        </w:rPr>
        <w:t>，重复性精度优于0.05%；</w:t>
      </w:r>
      <w:r>
        <w:rPr>
          <w:rFonts w:ascii="宋体" w:hAnsi="宋体" w:eastAsia="宋体"/>
          <w:sz w:val="24"/>
        </w:rPr>
        <w:t>顺序注射</w:t>
      </w:r>
      <w:r>
        <w:rPr>
          <w:rFonts w:hint="eastAsia" w:ascii="宋体" w:hAnsi="宋体" w:eastAsia="宋体"/>
          <w:sz w:val="24"/>
        </w:rPr>
        <w:t>和断续流动两种进样模式可相互切换并兼容。</w:t>
      </w:r>
    </w:p>
    <w:p w14:paraId="42F5871D">
      <w:pPr>
        <w:adjustRightInd w:val="0"/>
        <w:snapToGrid w:val="0"/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■</w:t>
      </w:r>
      <w:r>
        <w:rPr>
          <w:rStyle w:val="18"/>
          <w:rFonts w:hint="eastAsia" w:ascii="宋体" w:hAnsi="宋体" w:eastAsia="宋体" w:cs="宋体"/>
          <w:sz w:val="24"/>
          <w:szCs w:val="24"/>
        </w:rPr>
        <w:t>10、</w:t>
      </w:r>
      <w:r>
        <w:rPr>
          <w:rFonts w:hint="eastAsia" w:ascii="宋体" w:hAnsi="宋体" w:eastAsia="宋体"/>
          <w:sz w:val="24"/>
        </w:rPr>
        <w:t>采用隔膜阀控制流路（试剂不接触阀体，可靠性高，寿命长，减少仪器的维护及修理成本）。</w:t>
      </w:r>
    </w:p>
    <w:p w14:paraId="0FF04DD3">
      <w:pPr>
        <w:adjustRightInd w:val="0"/>
        <w:snapToGrid w:val="0"/>
        <w:spacing w:line="360" w:lineRule="auto"/>
        <w:rPr>
          <w:rFonts w:ascii="宋体" w:hAnsi="宋体" w:eastAsia="宋体"/>
          <w:sz w:val="24"/>
          <w:lang w:val="zh-CN"/>
        </w:rPr>
      </w:pPr>
      <w:r>
        <w:rPr>
          <w:rFonts w:hint="eastAsia" w:ascii="宋体" w:hAnsi="宋体" w:eastAsia="宋体"/>
          <w:sz w:val="24"/>
        </w:rPr>
        <w:t>11、</w:t>
      </w:r>
      <w:r>
        <w:rPr>
          <w:rFonts w:hint="eastAsia" w:ascii="宋体" w:hAnsi="宋体" w:eastAsia="宋体"/>
          <w:sz w:val="24"/>
          <w:lang w:val="zh-CN"/>
        </w:rPr>
        <w:t>自动进样器：</w:t>
      </w:r>
    </w:p>
    <w:p w14:paraId="58953C6B">
      <w:pPr>
        <w:adjustRightInd w:val="0"/>
        <w:snapToGrid w:val="0"/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11.1</w:t>
      </w:r>
      <w:r>
        <w:rPr>
          <w:rFonts w:hint="eastAsia" w:ascii="宋体" w:hAnsi="宋体" w:eastAsia="宋体"/>
          <w:color w:val="000000"/>
          <w:sz w:val="24"/>
        </w:rPr>
        <w:t>采用</w:t>
      </w:r>
      <w:r>
        <w:rPr>
          <w:rFonts w:hint="eastAsia" w:ascii="宋体" w:hAnsi="宋体" w:eastAsia="宋体"/>
          <w:sz w:val="24"/>
        </w:rPr>
        <w:t>极坐标式不低于180位（单盘）自动进样器，可实现全自动运行和半自动运行测量方式，可自动在线稀释、清洗、单标自动配置标准曲线（R＞0.999）；支持样品快速检测，自动在线补充载流，实现无人值守检测</w:t>
      </w:r>
    </w:p>
    <w:p w14:paraId="12182398">
      <w:pPr>
        <w:adjustRightInd w:val="0"/>
        <w:snapToGrid w:val="0"/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■11.2</w:t>
      </w:r>
      <w:r>
        <w:rPr>
          <w:rFonts w:hint="eastAsia" w:ascii="宋体" w:hAnsi="宋体" w:eastAsia="宋体"/>
          <w:kern w:val="0"/>
          <w:sz w:val="24"/>
        </w:rPr>
        <w:t>具有进样针自动清洗功能</w:t>
      </w:r>
    </w:p>
    <w:p w14:paraId="250E812C">
      <w:pPr>
        <w:adjustRightInd w:val="0"/>
        <w:snapToGrid w:val="0"/>
        <w:spacing w:line="360" w:lineRule="auto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sz w:val="24"/>
        </w:rPr>
        <w:t>11.3</w:t>
      </w:r>
      <w:r>
        <w:rPr>
          <w:rFonts w:hint="eastAsia" w:ascii="宋体" w:hAnsi="宋体" w:eastAsia="宋体"/>
          <w:sz w:val="24"/>
          <w:lang w:val="zh-CN"/>
        </w:rPr>
        <w:t>自动进样器具有进样臂升降调节装置</w:t>
      </w:r>
      <w:r>
        <w:rPr>
          <w:rFonts w:hint="eastAsia" w:ascii="宋体" w:hAnsi="宋体" w:eastAsia="宋体"/>
          <w:kern w:val="0"/>
          <w:sz w:val="24"/>
        </w:rPr>
        <w:t>。</w:t>
      </w:r>
    </w:p>
    <w:p w14:paraId="3C4FDDA5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采用高效涌流式</w:t>
      </w:r>
      <w:r>
        <w:rPr>
          <w:rFonts w:hint="eastAsia" w:ascii="宋体" w:hAnsi="宋体" w:eastAsia="宋体"/>
          <w:sz w:val="24"/>
          <w:lang w:val="zh-CN"/>
        </w:rPr>
        <w:t>化学气相发生气液分离装置及去除水蒸气的装置，</w:t>
      </w:r>
      <w:r>
        <w:rPr>
          <w:rFonts w:hint="eastAsia" w:ascii="宋体" w:hAnsi="宋体" w:eastAsia="宋体"/>
          <w:sz w:val="24"/>
        </w:rPr>
        <w:t>反应更平稳更完全，分离效果好，提高测量稳定性；</w:t>
      </w:r>
    </w:p>
    <w:p w14:paraId="5FF4025E">
      <w:pPr>
        <w:adjustRightInd w:val="0"/>
        <w:snapToGrid w:val="0"/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13、采用封闭式二级气液分离器，无需液封</w:t>
      </w:r>
    </w:p>
    <w:p w14:paraId="4142A907">
      <w:pPr>
        <w:adjustRightInd w:val="0"/>
        <w:snapToGrid w:val="0"/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14、配有的泵阀专用分离富集装置 ，具有既可在线消除硼氢化钾产生的气泡，又可降低试剂间扩散效应的双重功能，提高仪器稳定性</w:t>
      </w:r>
    </w:p>
    <w:p w14:paraId="2C704472">
      <w:pPr>
        <w:adjustRightInd w:val="0"/>
        <w:snapToGrid w:val="0"/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■15、具备气泡间隔技术，有效降低样品在毛细管中的扩散效应；</w:t>
      </w:r>
    </w:p>
    <w:p w14:paraId="32C251EC">
      <w:pPr>
        <w:adjustRightInd w:val="0"/>
        <w:snapToGrid w:val="0"/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16、气路系统: 开机自检、气路自动控制、自动保护、自动报警，并配有节气装置，节约氩气消耗量，减少仪器运行成本</w:t>
      </w:r>
    </w:p>
    <w:p w14:paraId="0C8570BA">
      <w:pPr>
        <w:adjustRightInd w:val="0"/>
        <w:snapToGrid w:val="0"/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17、主机电路板采用高集成度数字电路设计，强、弱电分离，消除相互之间的干扰，保证在潮湿地区仪器平稳运行；</w:t>
      </w:r>
    </w:p>
    <w:p w14:paraId="5641CEAF">
      <w:pPr>
        <w:adjustRightInd w:val="0"/>
        <w:snapToGrid w:val="0"/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■18、</w:t>
      </w:r>
      <w:r>
        <w:rPr>
          <w:rFonts w:hint="eastAsia" w:ascii="宋体" w:hAnsi="宋体" w:eastAsia="宋体"/>
          <w:sz w:val="24"/>
          <w:lang w:val="zh-CN"/>
        </w:rPr>
        <w:t>具有外置滤光氩氢火焰实时观察窗，</w:t>
      </w:r>
      <w:r>
        <w:rPr>
          <w:rFonts w:hint="eastAsia" w:ascii="宋体" w:hAnsi="宋体" w:eastAsia="宋体"/>
          <w:sz w:val="24"/>
        </w:rPr>
        <w:t>可实时监控火焰状态</w:t>
      </w:r>
    </w:p>
    <w:p w14:paraId="31C30467">
      <w:pPr>
        <w:adjustRightInd w:val="0"/>
        <w:snapToGrid w:val="0"/>
        <w:spacing w:line="360" w:lineRule="auto"/>
        <w:rPr>
          <w:rFonts w:ascii="宋体" w:hAnsi="宋体" w:eastAsia="宋体"/>
          <w:sz w:val="24"/>
          <w:lang w:val="zh-CN"/>
        </w:rPr>
      </w:pPr>
      <w:r>
        <w:rPr>
          <w:rFonts w:hint="eastAsia" w:ascii="宋体" w:hAnsi="宋体" w:eastAsia="宋体"/>
          <w:sz w:val="24"/>
        </w:rPr>
        <w:t>19、</w:t>
      </w:r>
      <w:r>
        <w:rPr>
          <w:rFonts w:hint="eastAsia" w:ascii="宋体" w:hAnsi="宋体" w:eastAsia="宋体"/>
          <w:sz w:val="24"/>
          <w:lang w:val="zh-CN"/>
        </w:rPr>
        <w:t>软件系统：</w:t>
      </w:r>
      <w:r>
        <w:rPr>
          <w:rFonts w:hint="eastAsia" w:ascii="宋体" w:hAnsi="宋体" w:eastAsia="宋体"/>
          <w:sz w:val="24"/>
        </w:rPr>
        <w:t>采用Windows中文窗口操作系统，</w:t>
      </w:r>
      <w:r>
        <w:rPr>
          <w:rFonts w:hint="eastAsia" w:ascii="宋体" w:hAnsi="宋体" w:eastAsia="宋体"/>
          <w:sz w:val="24"/>
          <w:lang w:val="zh-CN"/>
        </w:rPr>
        <w:t xml:space="preserve">中文软件工作站，可实现自动系统诊断、自动样品测量，多种报告格式；备存专家帮助系统，推荐最佳仪器条件和优选方法，及样品预处理、标液配制、干扰消除等指南；无需脱机/联机工作切换；样品空白和管理样校正个数无限制。 </w:t>
      </w:r>
      <w:r>
        <w:rPr>
          <w:rFonts w:hint="eastAsia" w:ascii="宋体" w:hAnsi="宋体" w:eastAsia="宋体"/>
          <w:sz w:val="24"/>
        </w:rPr>
        <w:t>测量结果可随时转换成EXCEL格式，实现资源网络共享</w:t>
      </w:r>
    </w:p>
    <w:p w14:paraId="57DBFDA6">
      <w:pPr>
        <w:adjustRightInd w:val="0"/>
        <w:snapToGrid w:val="0"/>
        <w:spacing w:line="360" w:lineRule="auto"/>
        <w:rPr>
          <w:rFonts w:ascii="宋体" w:hAnsi="宋体" w:eastAsia="宋体"/>
          <w:sz w:val="24"/>
          <w:lang w:val="zh-CN"/>
        </w:rPr>
      </w:pPr>
      <w:r>
        <w:rPr>
          <w:rFonts w:hint="eastAsia" w:ascii="宋体" w:hAnsi="宋体" w:eastAsia="宋体"/>
          <w:sz w:val="24"/>
        </w:rPr>
        <w:t>20、配有特有技术的</w:t>
      </w:r>
      <w:r>
        <w:rPr>
          <w:rFonts w:hint="eastAsia" w:ascii="宋体" w:hAnsi="宋体" w:eastAsia="宋体"/>
          <w:sz w:val="24"/>
          <w:lang w:val="zh-CN"/>
        </w:rPr>
        <w:t>氢化物发生原子荧光测量尾气中的有害元素捕集阱装置</w:t>
      </w:r>
    </w:p>
    <w:p w14:paraId="73C8EF5D">
      <w:pPr>
        <w:adjustRightInd w:val="0"/>
        <w:snapToGrid w:val="0"/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五、仪器配置及耗材;</w:t>
      </w:r>
    </w:p>
    <w:p w14:paraId="2A3F078C">
      <w:pPr>
        <w:adjustRightInd w:val="0"/>
        <w:snapToGrid w:val="0"/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1、原子荧光光度计主机1台</w:t>
      </w:r>
    </w:p>
    <w:p w14:paraId="27160D63">
      <w:pPr>
        <w:adjustRightInd w:val="0"/>
        <w:snapToGrid w:val="0"/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2、双光束光源漂移校准系统1套</w:t>
      </w:r>
    </w:p>
    <w:p w14:paraId="1F2C41FA">
      <w:pPr>
        <w:adjustRightInd w:val="0"/>
        <w:snapToGrid w:val="0"/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3、全自动顺序注射泵进样系统 1套</w:t>
      </w:r>
    </w:p>
    <w:p w14:paraId="37BD87C0">
      <w:pPr>
        <w:adjustRightInd w:val="0"/>
        <w:snapToGrid w:val="0"/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4、全自动断续流动进样系统1套</w:t>
      </w:r>
    </w:p>
    <w:p w14:paraId="3F25A5F1">
      <w:pPr>
        <w:adjustRightInd w:val="0"/>
        <w:snapToGrid w:val="0"/>
        <w:spacing w:line="360" w:lineRule="auto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sz w:val="24"/>
        </w:rPr>
        <w:t>5、不低于180位（单盘）</w:t>
      </w:r>
      <w:r>
        <w:rPr>
          <w:rFonts w:hint="eastAsia" w:ascii="宋体" w:hAnsi="宋体" w:eastAsia="宋体"/>
          <w:color w:val="000000"/>
          <w:sz w:val="24"/>
        </w:rPr>
        <w:t>自动进样器1台</w:t>
      </w:r>
    </w:p>
    <w:p w14:paraId="61C52F82">
      <w:pPr>
        <w:adjustRightInd w:val="0"/>
        <w:snapToGrid w:val="0"/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6、高效涌流式</w:t>
      </w:r>
      <w:r>
        <w:rPr>
          <w:rFonts w:hint="eastAsia" w:ascii="宋体" w:hAnsi="宋体" w:eastAsia="宋体"/>
          <w:sz w:val="24"/>
          <w:lang w:val="zh-CN"/>
        </w:rPr>
        <w:t>化学气相发生气液分离装置1套</w:t>
      </w:r>
    </w:p>
    <w:p w14:paraId="7235D194">
      <w:pPr>
        <w:adjustRightInd w:val="0"/>
        <w:snapToGrid w:val="0"/>
        <w:spacing w:line="360" w:lineRule="auto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7、配有用于形态分析接口1套</w:t>
      </w:r>
    </w:p>
    <w:p w14:paraId="3B401900">
      <w:pPr>
        <w:adjustRightInd w:val="0"/>
        <w:snapToGrid w:val="0"/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8、仪器操作及数据处理软件1套</w:t>
      </w:r>
    </w:p>
    <w:p w14:paraId="58E8EF86">
      <w:pPr>
        <w:adjustRightInd w:val="0"/>
        <w:snapToGrid w:val="0"/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9、数据输出和输入系统1套（品牌电脑，I5及以上， 内存16G以上， DVD刻录， 硬盘1T以上， 22液晶显示器，中文正版Win10 64位专业系统；激光打印机1套。）</w:t>
      </w:r>
    </w:p>
    <w:p w14:paraId="4E498372">
      <w:pPr>
        <w:adjustRightInd w:val="0"/>
        <w:snapToGrid w:val="0"/>
        <w:spacing w:line="360" w:lineRule="auto"/>
        <w:rPr>
          <w:rFonts w:ascii="宋体" w:hAnsi="宋体" w:eastAsia="宋体"/>
          <w:color w:val="FF0000"/>
          <w:sz w:val="24"/>
        </w:rPr>
      </w:pPr>
      <w:r>
        <w:rPr>
          <w:rFonts w:hint="eastAsia" w:ascii="宋体" w:hAnsi="宋体" w:eastAsia="宋体"/>
          <w:sz w:val="24"/>
        </w:rPr>
        <w:t>10、高强度空芯阴极灯3支（汞、砷、硒各1支）</w:t>
      </w:r>
    </w:p>
    <w:p w14:paraId="4779B592">
      <w:pPr>
        <w:adjustRightInd w:val="0"/>
        <w:snapToGrid w:val="0"/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11、进样管不少于180个</w:t>
      </w:r>
    </w:p>
    <w:p w14:paraId="56D15077">
      <w:pPr>
        <w:adjustRightInd w:val="0"/>
        <w:snapToGrid w:val="0"/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12、配套通风设备改造1套</w:t>
      </w:r>
    </w:p>
    <w:p w14:paraId="711C3F12">
      <w:pPr>
        <w:adjustRightInd w:val="0"/>
        <w:snapToGrid w:val="0"/>
        <w:spacing w:line="360" w:lineRule="auto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六、技术服务及售后服务：</w:t>
      </w:r>
    </w:p>
    <w:p w14:paraId="076BB8C8"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4"/>
        </w:rPr>
        <w:t>1、仪器装箱清单、质量合格证明文件、保修卡、使用说明和维护手册等技术文件齐全。</w:t>
      </w:r>
    </w:p>
    <w:p w14:paraId="30E4883A"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★2、仪器制造商授权的技术人员现场安装调试，由仪器制造商或供货方送检合格后，取得校准或检定证书，用户方方可签字验收。</w:t>
      </w:r>
    </w:p>
    <w:p w14:paraId="19903A2B"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3、每类仪器报修和应用支持须在2h内响应，48h到现场解决问题。</w:t>
      </w:r>
    </w:p>
    <w:p w14:paraId="2DDE98A4"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★4、质保期：整机质保期不少于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sz w:val="24"/>
        </w:rPr>
        <w:t>年。在质保期内，供应商必须提供仪器制造商的故障检查、维修及维护等服务，所有服务及更换部件（耗材除外）全部免费。仪器制造商对仪器提供终身维修维护支持，软件免费升级，并以优惠价提供配件耗材。</w:t>
      </w:r>
    </w:p>
    <w:p w14:paraId="250BB864"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5、现场培训：仪器制造商工程师在仪器安装、调试完成后对操作人员进行仪器基本操作和维护的免费培训，保证相关人员能独立上机进行基本操作和数据处理。如因人员变动，需要进行再次培训，应满足对采购人新增实验人员进行免费培训。</w:t>
      </w:r>
    </w:p>
    <w:p w14:paraId="7E257FC0">
      <w:pPr>
        <w:rPr>
          <w:rFonts w:ascii="宋体" w:hAnsi="宋体" w:eastAsia="宋体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D8AABE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9B8DEFC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B8DEFC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FC80C8"/>
    <w:multiLevelType w:val="singleLevel"/>
    <w:tmpl w:val="80FC80C8"/>
    <w:lvl w:ilvl="0" w:tentative="0">
      <w:start w:val="12"/>
      <w:numFmt w:val="decimal"/>
      <w:suff w:val="nothing"/>
      <w:lvlText w:val="%1、"/>
      <w:lvlJc w:val="left"/>
    </w:lvl>
  </w:abstractNum>
  <w:abstractNum w:abstractNumId="1">
    <w:nsid w:val="A6D07402"/>
    <w:multiLevelType w:val="multilevel"/>
    <w:tmpl w:val="A6D07402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suff w:val="nothing"/>
      <w:lvlText w:val="%3．"/>
      <w:lvlJc w:val="left"/>
      <w:pPr>
        <w:tabs>
          <w:tab w:val="left" w:pos="0"/>
        </w:tabs>
        <w:ind w:left="0" w:firstLine="0"/>
      </w:pPr>
      <w:rPr>
        <w:rFonts w:hint="default" w:ascii="黑体" w:hAnsi="黑体" w:eastAsia="黑体"/>
        <w:color w:val="auto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suff w:val="space"/>
      <w:lvlText w:val="%5"/>
      <w:lvlJc w:val="left"/>
      <w:pPr>
        <w:ind w:left="0" w:firstLine="0"/>
      </w:pPr>
      <w:rPr>
        <w:rFonts w:hint="eastAsia" w:ascii="黑体" w:hAnsi="黑体" w:eastAsia="黑体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0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0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0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0"/>
      </w:pPr>
      <w:rPr>
        <w:rFonts w:hint="eastAsia"/>
      </w:rPr>
    </w:lvl>
  </w:abstractNum>
  <w:abstractNum w:abstractNumId="2">
    <w:nsid w:val="CED906FC"/>
    <w:multiLevelType w:val="multilevel"/>
    <w:tmpl w:val="CED906FC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A1A20"/>
    <w:rsid w:val="00370107"/>
    <w:rsid w:val="005E3576"/>
    <w:rsid w:val="00797E50"/>
    <w:rsid w:val="007C6BB1"/>
    <w:rsid w:val="00F14A04"/>
    <w:rsid w:val="03312448"/>
    <w:rsid w:val="03736735"/>
    <w:rsid w:val="07AF6AAA"/>
    <w:rsid w:val="085B1141"/>
    <w:rsid w:val="21FA2A4D"/>
    <w:rsid w:val="23181B9F"/>
    <w:rsid w:val="235D2694"/>
    <w:rsid w:val="31B04D12"/>
    <w:rsid w:val="36393E81"/>
    <w:rsid w:val="388A594F"/>
    <w:rsid w:val="3D3D4FC4"/>
    <w:rsid w:val="422A1A20"/>
    <w:rsid w:val="4AFC3310"/>
    <w:rsid w:val="4CE51F37"/>
    <w:rsid w:val="4ED54C66"/>
    <w:rsid w:val="525C7A46"/>
    <w:rsid w:val="55A64F94"/>
    <w:rsid w:val="67C718D1"/>
    <w:rsid w:val="684F2AAF"/>
    <w:rsid w:val="69AF3970"/>
    <w:rsid w:val="6D503E66"/>
    <w:rsid w:val="6F732867"/>
    <w:rsid w:val="701B1D7B"/>
    <w:rsid w:val="730F4347"/>
    <w:rsid w:val="73E55634"/>
    <w:rsid w:val="794D1059"/>
    <w:rsid w:val="79D06969"/>
    <w:rsid w:val="7B20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semiHidden="0" w:name="heading 3"/>
    <w:lsdException w:qFormat="1" w:uiPriority="9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tabs>
        <w:tab w:val="left" w:pos="360"/>
      </w:tabs>
      <w:adjustRightInd w:val="0"/>
      <w:spacing w:line="360" w:lineRule="auto"/>
      <w:jc w:val="center"/>
      <w:textAlignment w:val="baseline"/>
      <w:outlineLvl w:val="0"/>
    </w:pPr>
    <w:rPr>
      <w:rFonts w:eastAsia="黑体"/>
      <w:b/>
      <w:kern w:val="44"/>
      <w:sz w:val="28"/>
      <w:szCs w:val="20"/>
    </w:rPr>
  </w:style>
  <w:style w:type="paragraph" w:styleId="4">
    <w:name w:val="heading 3"/>
    <w:basedOn w:val="1"/>
    <w:next w:val="2"/>
    <w:link w:val="15"/>
    <w:unhideWhenUsed/>
    <w:qFormat/>
    <w:uiPriority w:val="9"/>
    <w:pPr>
      <w:numPr>
        <w:ilvl w:val="2"/>
        <w:numId w:val="1"/>
      </w:numPr>
      <w:tabs>
        <w:tab w:val="left" w:pos="312"/>
        <w:tab w:val="clear" w:pos="0"/>
      </w:tabs>
      <w:adjustRightInd w:val="0"/>
      <w:snapToGrid w:val="0"/>
      <w:spacing w:beforeLines="100" w:afterLines="50" w:line="288" w:lineRule="auto"/>
      <w:ind w:firstLine="0"/>
      <w:outlineLvl w:val="2"/>
    </w:pPr>
    <w:rPr>
      <w:rFonts w:ascii="黑体" w:hAnsi="黑体" w:eastAsia="黑体"/>
      <w:b/>
      <w:bCs/>
      <w:sz w:val="30"/>
      <w:szCs w:val="30"/>
    </w:rPr>
  </w:style>
  <w:style w:type="paragraph" w:styleId="5">
    <w:name w:val="heading 4"/>
    <w:next w:val="2"/>
    <w:unhideWhenUsed/>
    <w:qFormat/>
    <w:uiPriority w:val="9"/>
    <w:pPr>
      <w:numPr>
        <w:ilvl w:val="3"/>
        <w:numId w:val="2"/>
      </w:numPr>
      <w:adjustRightInd w:val="0"/>
      <w:snapToGrid w:val="0"/>
      <w:spacing w:beforeLines="100" w:afterLines="50" w:line="288" w:lineRule="auto"/>
      <w:outlineLvl w:val="3"/>
    </w:pPr>
    <w:rPr>
      <w:rFonts w:ascii="黑体" w:hAnsi="黑体" w:eastAsia="黑体" w:cstheme="minorBidi"/>
      <w:b/>
      <w:bCs/>
      <w:sz w:val="28"/>
      <w:szCs w:val="28"/>
      <w:lang w:val="en-US" w:eastAsia="zh-CN" w:bidi="ar-SA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line="372" w:lineRule="auto"/>
      <w:outlineLvl w:val="4"/>
    </w:pPr>
    <w:rPr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autoSpaceDE w:val="0"/>
      <w:autoSpaceDN w:val="0"/>
      <w:ind w:left="103"/>
      <w:jc w:val="left"/>
    </w:pPr>
    <w:rPr>
      <w:rFonts w:ascii="宋体" w:hAnsi="宋体"/>
      <w:kern w:val="0"/>
      <w:sz w:val="30"/>
      <w:szCs w:val="30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1">
    <w:name w:val="Table Grid"/>
    <w:basedOn w:val="10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产品手册——表"/>
    <w:qFormat/>
    <w:uiPriority w:val="0"/>
    <w:pPr>
      <w:adjustRightInd w:val="0"/>
      <w:snapToGrid w:val="0"/>
      <w:spacing w:beforeLines="20" w:afterLines="20"/>
      <w:jc w:val="center"/>
    </w:pPr>
    <w:rPr>
      <w:rFonts w:ascii="Microsoft JhengHei" w:hAnsi="Microsoft JhengHei" w:eastAsia="Microsoft JhengHei" w:cs="Times New Roman"/>
      <w:sz w:val="21"/>
      <w:szCs w:val="22"/>
      <w:lang w:val="en-US" w:eastAsia="zh-CN" w:bidi="ar-SA"/>
    </w:rPr>
  </w:style>
  <w:style w:type="character" w:customStyle="1" w:styleId="15">
    <w:name w:val="标题 3 Char"/>
    <w:link w:val="4"/>
    <w:qFormat/>
    <w:uiPriority w:val="9"/>
    <w:rPr>
      <w:rFonts w:ascii="黑体" w:hAnsi="黑体" w:eastAsia="黑体"/>
      <w:b/>
      <w:bCs/>
      <w:sz w:val="30"/>
      <w:szCs w:val="30"/>
    </w:rPr>
  </w:style>
  <w:style w:type="character" w:customStyle="1" w:styleId="16">
    <w:name w:val="font1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7">
    <w:name w:val="font21"/>
    <w:basedOn w:val="12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8">
    <w:name w:val="NormalCharacter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1855</Words>
  <Characters>2007</Characters>
  <Lines>14</Lines>
  <Paragraphs>4</Paragraphs>
  <TotalTime>0</TotalTime>
  <ScaleCrop>false</ScaleCrop>
  <LinksUpToDate>false</LinksUpToDate>
  <CharactersWithSpaces>2029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2026-04-07T07:18:00Z</dcterms:created>
  <dc:creator>华善</dc:creator>
  <cp:lastModifiedBy>华善</cp:lastModifiedBy>
  <dcterms:modified xsi:type="dcterms:W3CDTF">2026-04-09T10:13:29Z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2A31A7D3A5C448DF8783467E8D6F5EFB_13</vt:lpwstr>
  </property>
  <property fmtid="{D5CDD505-2E9C-101B-9397-08002B2CF9AE}" pid="4" name="KSOTemplateDocerSaveRecord">
    <vt:lpwstr>eyJoZGlkIjoiZDgzMDg3OTVkZTdkM2JjZjdhMzMwZmZjMzdmNTZjOTMiLCJ1c2VySWQiOiIxMDI2NDM2MzE2In0=</vt:lpwstr>
  </property>
</Properties>
</file>