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2CD62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  <w:t>7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  <w:t>、便携式抽滤装置</w:t>
      </w:r>
    </w:p>
    <w:p w14:paraId="148CFF81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1.用途： </w:t>
      </w:r>
    </w:p>
    <w:p w14:paraId="11A4F13F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用于测定地表水金属项目可溶性元素时，现场采样后的过滤。 </w:t>
      </w:r>
    </w:p>
    <w:p w14:paraId="76397E58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2.适用范围： </w:t>
      </w:r>
    </w:p>
    <w:p w14:paraId="59F59C03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满足水样溶解态重金属铅、铜、锌、镉、铁、锰等项目采集后在现场过滤，水样采集后现场立即用 0.45um 滤膜过滤的要求;水样的泥沙等颗粒状杂质过滤等要求。 </w:t>
      </w:r>
    </w:p>
    <w:p w14:paraId="54DC1ED1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3.适用标准： </w:t>
      </w:r>
    </w:p>
    <w:p w14:paraId="0C7E83C0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HJ776-2015《水质 32 种元素的测定电感耦合等离子体发射光谱法》 </w:t>
      </w:r>
    </w:p>
    <w:p w14:paraId="7BE65B40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HJ700-2014《水质 65 种元素的测定电感耦合等离子体质谱法(发布稿)》 </w:t>
      </w:r>
    </w:p>
    <w:p w14:paraId="5D1EBDE2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GJW-03-SSG-001《国家地表水环境质量监测网络作业指导书》。 </w:t>
      </w:r>
    </w:p>
    <w:p w14:paraId="730C702A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4.参数及功能要求： </w:t>
      </w:r>
    </w:p>
    <w:p w14:paraId="39205D1C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 w:cs="宋体"/>
          <w:sz w:val="24"/>
        </w:rPr>
        <w:t xml:space="preserve">4.1 采用一体化设计方式，方便携带，便于现场使用。 </w:t>
      </w:r>
    </w:p>
    <w:p w14:paraId="5B1C8AE5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4.2 采用快开式抽滤杯，滤膜更换方便;机身开关按钮采用防水设计，通风口配备防沙防尘网，更适合野外作业。 </w:t>
      </w:r>
    </w:p>
    <w:p w14:paraId="109DC3E6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4.3 机身放置直径100mm 的微孔滤膜。 </w:t>
      </w:r>
    </w:p>
    <w:p w14:paraId="1E3313C3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 xml:space="preserve">4.4 自带大容量锂电池，带过流保护，短路保护，单块电池续航时间15小时:配备 12V或24V 充电器。 </w:t>
      </w:r>
    </w:p>
    <w:p w14:paraId="478F4831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4.5 电池余量实时液晶显示;设有调节旋钮实现抽滤速度或抽滤负压的无级调节。 </w:t>
      </w:r>
    </w:p>
    <w:p w14:paraId="2D09EA1F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4.6 高性能无刷电机隔膜真空泵带阻水空气过滤器，防水耐酸碱腐蚀，高负压，强吸力，负压大于 65kPa;不需要额外的备压瓶或隔水瓶。</w:t>
      </w:r>
    </w:p>
    <w:p w14:paraId="4403CDF9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4.7 集液瓶和样品瓶合二为一，抽滤下一个水样时无需清洗集液瓶;材质符合国家标准及作业指导书要求，不含金属离子。</w:t>
      </w:r>
    </w:p>
    <w:p w14:paraId="74D00D84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4.8 技术参数：</w:t>
      </w:r>
    </w:p>
    <w:p w14:paraId="38153DD6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4.8.1 采样流量:≥12L/min(空载)。</w:t>
      </w:r>
    </w:p>
    <w:p w14:paraId="759DA85C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4.8.2 负载能力:≥-65kPa。</w:t>
      </w:r>
    </w:p>
    <w:p w14:paraId="3AD079C9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4.8.3 电池电量:满足仪器续航时间。</w:t>
      </w:r>
    </w:p>
    <w:p w14:paraId="31567110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4.8.4 滤膜尺寸:直径≥100mm/0.45μm 水系滤膜。</w:t>
      </w:r>
    </w:p>
    <w:p w14:paraId="6A9D0B01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4.8.5 工作温度:-20℃~50℃。</w:t>
      </w:r>
    </w:p>
    <w:p w14:paraId="79A05FB6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4.8.6 额定功率:≤12W。</w:t>
      </w:r>
    </w:p>
    <w:p w14:paraId="474D918B">
      <w:p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4.8.7集液瓶：600ml</w:t>
      </w:r>
    </w:p>
    <w:p w14:paraId="79CFF989">
      <w:pPr>
        <w:numPr>
          <w:ilvl w:val="0"/>
          <w:numId w:val="2"/>
        </w:numPr>
        <w:spacing w:after="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配置(每套):主机 1 套;600ml样品瓶 2 个;0.45um 水系微孔滤膜 1 盒;内置高容量锂电池 1 套;使用说明书和合格证 1 套。</w:t>
      </w:r>
    </w:p>
    <w:p w14:paraId="143B3603">
      <w:pPr>
        <w:pStyle w:val="2"/>
        <w:numPr>
          <w:ilvl w:val="0"/>
          <w:numId w:val="0"/>
        </w:numPr>
        <w:rPr>
          <w:rFonts w:hint="eastAsia"/>
        </w:rPr>
      </w:pPr>
    </w:p>
    <w:p w14:paraId="77810F8A">
      <w:pPr>
        <w:numPr>
          <w:ilvl w:val="0"/>
          <w:numId w:val="0"/>
        </w:numPr>
        <w:adjustRightInd w:val="0"/>
        <w:snapToGrid w:val="0"/>
        <w:spacing w:after="0"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</w:rPr>
        <w:t>技术服务及售后服务：</w:t>
      </w:r>
    </w:p>
    <w:p w14:paraId="076BB8C8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0E4883A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★2、仪器制造商授权的技术人员现场安装调试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</w:rPr>
        <w:t>，用户方方可签字验收。</w:t>
      </w:r>
    </w:p>
    <w:p w14:paraId="19903A2B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250BB86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67711616">
      <w:pPr>
        <w:numPr>
          <w:ilvl w:val="0"/>
          <w:numId w:val="0"/>
        </w:numPr>
        <w:jc w:val="left"/>
        <w:rPr>
          <w:rFonts w:hint="default"/>
          <w:b/>
          <w:bCs/>
          <w:sz w:val="36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C6AE2FE"/>
    <w:multiLevelType w:val="singleLevel"/>
    <w:tmpl w:val="6C6AE2F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3312448"/>
    <w:rsid w:val="07AF6AAA"/>
    <w:rsid w:val="24203ACE"/>
    <w:rsid w:val="2FF06A94"/>
    <w:rsid w:val="388A594F"/>
    <w:rsid w:val="3D2F6C05"/>
    <w:rsid w:val="422A1A20"/>
    <w:rsid w:val="441971C4"/>
    <w:rsid w:val="67C718D1"/>
    <w:rsid w:val="6D503E66"/>
    <w:rsid w:val="701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965</Words>
  <Characters>1114</Characters>
  <Lines>0</Lines>
  <Paragraphs>0</Paragraphs>
  <TotalTime>0</TotalTime>
  <ScaleCrop>false</ScaleCrop>
  <LinksUpToDate>false</LinksUpToDate>
  <CharactersWithSpaces>1164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2026-04-10T04:07:53Z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7D3C97884DC64653A8AFB6C425091F89_13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