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22845">
      <w:pPr>
        <w:pStyle w:val="4"/>
        <w:keepNext/>
        <w:keepLines/>
        <w:pageBreakBefore w:val="0"/>
        <w:widowControl w:val="0"/>
        <w:numPr>
          <w:ilvl w:val="0"/>
          <w:numId w:val="0"/>
        </w:numPr>
        <w:tabs>
          <w:tab w:val="clear" w:pos="360"/>
          <w:tab w:val="clear" w:pos="420"/>
          <w:tab w:val="clear" w:pos="900"/>
          <w:tab w:val="clear" w:pos="15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420" w:leftChars="0" w:firstLine="562" w:firstLineChars="200"/>
        <w:jc w:val="center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bookmarkStart w:id="0" w:name="_Toc25894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4、气相分子吸收光谱仪</w:t>
      </w:r>
      <w:bookmarkEnd w:id="0"/>
    </w:p>
    <w:p w14:paraId="2C47763E">
      <w:pPr>
        <w:keepNext w:val="0"/>
        <w:keepLines w:val="0"/>
        <w:pageBreakBefore w:val="0"/>
        <w:tabs>
          <w:tab w:val="left" w:pos="3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outlineLvl w:val="3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1.主机配置和备件耗材</w:t>
      </w:r>
    </w:p>
    <w:p w14:paraId="4DA7BA20">
      <w:pPr>
        <w:keepNext w:val="0"/>
        <w:keepLines w:val="0"/>
        <w:pageBreakBefore w:val="0"/>
        <w:tabs>
          <w:tab w:val="left" w:pos="3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2" w:firstLineChars="200"/>
        <w:textAlignment w:val="auto"/>
        <w:outlineLvl w:val="3"/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2"/>
          <w:szCs w:val="22"/>
          <w:highlight w:val="none"/>
          <w:lang w:val="en-US" w:eastAsia="zh-CN"/>
        </w:rPr>
        <w:t>（采购数量按招标清单为准，这里只表示每台采购设备应配置的备件或耗材数量）</w:t>
      </w:r>
    </w:p>
    <w:tbl>
      <w:tblPr>
        <w:tblStyle w:val="5"/>
        <w:tblW w:w="48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36"/>
        <w:gridCol w:w="4948"/>
        <w:gridCol w:w="1242"/>
      </w:tblGrid>
      <w:tr w14:paraId="316F9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425" w:type="pct"/>
            <w:noWrap w:val="0"/>
            <w:vAlign w:val="center"/>
          </w:tcPr>
          <w:p w14:paraId="4ADA0C4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1" w:type="pct"/>
            <w:noWrap w:val="0"/>
            <w:vAlign w:val="center"/>
          </w:tcPr>
          <w:p w14:paraId="2ECA882D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967" w:type="pct"/>
            <w:noWrap w:val="0"/>
            <w:vAlign w:val="center"/>
          </w:tcPr>
          <w:p w14:paraId="7155B56F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说明</w:t>
            </w:r>
          </w:p>
        </w:tc>
        <w:tc>
          <w:tcPr>
            <w:tcW w:w="745" w:type="pct"/>
            <w:noWrap w:val="0"/>
            <w:vAlign w:val="center"/>
          </w:tcPr>
          <w:p w14:paraId="01CF0CC1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数量</w:t>
            </w:r>
          </w:p>
          <w:p w14:paraId="3244427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（台/套）</w:t>
            </w:r>
          </w:p>
        </w:tc>
      </w:tr>
      <w:tr w14:paraId="241B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425" w:type="pct"/>
            <w:noWrap w:val="0"/>
            <w:vAlign w:val="center"/>
          </w:tcPr>
          <w:p w14:paraId="069B650A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主机</w:t>
            </w:r>
          </w:p>
        </w:tc>
        <w:tc>
          <w:tcPr>
            <w:tcW w:w="861" w:type="pct"/>
            <w:noWrap w:val="0"/>
            <w:vAlign w:val="center"/>
          </w:tcPr>
          <w:p w14:paraId="253488D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气相分子吸收光谱仪</w:t>
            </w:r>
          </w:p>
        </w:tc>
        <w:tc>
          <w:tcPr>
            <w:tcW w:w="2967" w:type="pct"/>
            <w:noWrap w:val="0"/>
            <w:vAlign w:val="center"/>
          </w:tcPr>
          <w:p w14:paraId="137C13B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含流动注射进样系统、在线加热系统、内置氨氮在线氧化模块、内置电子压力报警系统，内置自动稀释模块，内置总氮在线消解模块、自动进样器1套</w:t>
            </w:r>
          </w:p>
        </w:tc>
        <w:tc>
          <w:tcPr>
            <w:tcW w:w="745" w:type="pct"/>
            <w:noWrap w:val="0"/>
            <w:vAlign w:val="center"/>
          </w:tcPr>
          <w:p w14:paraId="7099827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6AAF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pct"/>
            <w:vMerge w:val="restart"/>
            <w:noWrap w:val="0"/>
            <w:vAlign w:val="center"/>
          </w:tcPr>
          <w:p w14:paraId="348ACE66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备件/耗材</w:t>
            </w:r>
          </w:p>
        </w:tc>
        <w:tc>
          <w:tcPr>
            <w:tcW w:w="861" w:type="pct"/>
            <w:noWrap w:val="0"/>
            <w:vAlign w:val="center"/>
          </w:tcPr>
          <w:p w14:paraId="3685782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一年备件包</w:t>
            </w:r>
          </w:p>
        </w:tc>
        <w:tc>
          <w:tcPr>
            <w:tcW w:w="2967" w:type="pct"/>
            <w:noWrap w:val="0"/>
            <w:vAlign w:val="center"/>
          </w:tcPr>
          <w:p w14:paraId="1F96A57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除标配的配件耗材外，每台另赠进样软管、试剂泵管、尾气吸收装置、进样针等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1套，合计2套/台</w:t>
            </w:r>
          </w:p>
        </w:tc>
        <w:tc>
          <w:tcPr>
            <w:tcW w:w="745" w:type="pct"/>
            <w:noWrap w:val="0"/>
            <w:vAlign w:val="center"/>
          </w:tcPr>
          <w:p w14:paraId="5CF828A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3CB8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pct"/>
            <w:vMerge w:val="continue"/>
            <w:noWrap w:val="0"/>
            <w:vAlign w:val="center"/>
          </w:tcPr>
          <w:p w14:paraId="7DA27C4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1" w:type="pct"/>
            <w:noWrap w:val="0"/>
            <w:vAlign w:val="center"/>
          </w:tcPr>
          <w:p w14:paraId="17EE15EE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样品瓶</w:t>
            </w:r>
          </w:p>
        </w:tc>
        <w:tc>
          <w:tcPr>
            <w:tcW w:w="2967" w:type="pct"/>
            <w:noWrap w:val="0"/>
            <w:vAlign w:val="center"/>
          </w:tcPr>
          <w:p w14:paraId="7F8B03A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50mL×60个/套</w:t>
            </w:r>
          </w:p>
        </w:tc>
        <w:tc>
          <w:tcPr>
            <w:tcW w:w="745" w:type="pct"/>
            <w:noWrap w:val="0"/>
            <w:vAlign w:val="center"/>
          </w:tcPr>
          <w:p w14:paraId="10FBEF4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456B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pct"/>
            <w:vMerge w:val="continue"/>
            <w:noWrap w:val="0"/>
            <w:vAlign w:val="center"/>
          </w:tcPr>
          <w:p w14:paraId="09960509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1" w:type="pct"/>
            <w:noWrap w:val="0"/>
            <w:vAlign w:val="center"/>
          </w:tcPr>
          <w:p w14:paraId="7C89DE67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试剂瓶架</w:t>
            </w:r>
          </w:p>
        </w:tc>
        <w:tc>
          <w:tcPr>
            <w:tcW w:w="2967" w:type="pct"/>
            <w:noWrap w:val="0"/>
            <w:vAlign w:val="center"/>
          </w:tcPr>
          <w:p w14:paraId="36FA671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\</w:t>
            </w:r>
          </w:p>
        </w:tc>
        <w:tc>
          <w:tcPr>
            <w:tcW w:w="745" w:type="pct"/>
            <w:noWrap w:val="0"/>
            <w:vAlign w:val="center"/>
          </w:tcPr>
          <w:p w14:paraId="7274609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0B3F6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" w:type="pct"/>
            <w:vMerge w:val="continue"/>
            <w:noWrap w:val="0"/>
            <w:vAlign w:val="center"/>
          </w:tcPr>
          <w:p w14:paraId="4828466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1" w:type="pct"/>
            <w:noWrap w:val="0"/>
            <w:vAlign w:val="center"/>
          </w:tcPr>
          <w:p w14:paraId="1FCE5AA0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高纯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气</w:t>
            </w:r>
          </w:p>
        </w:tc>
        <w:tc>
          <w:tcPr>
            <w:tcW w:w="2967" w:type="pct"/>
            <w:noWrap w:val="0"/>
            <w:vAlign w:val="center"/>
          </w:tcPr>
          <w:p w14:paraId="4A3FBBEC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1瓶/台（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含瓶、气、阀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纯度≥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99.999%</w:t>
            </w:r>
          </w:p>
        </w:tc>
        <w:tc>
          <w:tcPr>
            <w:tcW w:w="745" w:type="pct"/>
            <w:noWrap w:val="0"/>
            <w:vAlign w:val="center"/>
          </w:tcPr>
          <w:p w14:paraId="13D1DCC4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 w14:paraId="7BADC845">
      <w:pPr>
        <w:keepNext w:val="0"/>
        <w:keepLines w:val="0"/>
        <w:pageBreakBefore w:val="0"/>
        <w:tabs>
          <w:tab w:val="left" w:pos="3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outlineLvl w:val="3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2.工作条件</w:t>
      </w:r>
    </w:p>
    <w:p w14:paraId="3A2539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2.1工作环境温度：15℃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～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30℃。</w:t>
      </w:r>
    </w:p>
    <w:p w14:paraId="6C652A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2.2工作环境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相对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湿度：≤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75%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。</w:t>
      </w:r>
    </w:p>
    <w:p w14:paraId="1B40B9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2.3供电电源：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AC 220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V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±22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V，50Hz。</w:t>
      </w:r>
    </w:p>
    <w:p w14:paraId="50B5A1ED">
      <w:pPr>
        <w:keepNext w:val="0"/>
        <w:keepLines w:val="0"/>
        <w:pageBreakBefore w:val="0"/>
        <w:tabs>
          <w:tab w:val="left" w:pos="3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outlineLvl w:val="3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3.仪器用途</w:t>
      </w:r>
    </w:p>
    <w:p w14:paraId="4551B8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3.1仪器适用于水体中氨氮、总氮、硫化物、硝酸盐氮、亚硝酸盐氮、凯氏氮等含氮、含硫类关键污染指标的精准定量检测。</w:t>
      </w:r>
    </w:p>
    <w:p w14:paraId="3D0D27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3.2满足《水质 氨氮的测定 气相分子吸收光谱法》（HJ 195-2023）、《水质 总氮的测定 气相分子吸收光谱法》（HJ 199-2023）、《水质 硫化物的测定 气相分子吸收光谱法》（HJ 200-2023）、《水质 硝酸盐氮的测定 气相分子吸收光谱法》（HJ 19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-2024）、《水质 亚硝酸盐氮的测定 气相分子吸收光谱法》（HJ 19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-2024）等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相关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环境监测国家标准方法的分析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要求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。</w:t>
      </w:r>
    </w:p>
    <w:p w14:paraId="763460BA">
      <w:pPr>
        <w:keepNext w:val="0"/>
        <w:keepLines w:val="0"/>
        <w:pageBreakBefore w:val="0"/>
        <w:tabs>
          <w:tab w:val="left" w:pos="3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outlineLvl w:val="3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4.技术参数</w:t>
      </w:r>
    </w:p>
    <w:p w14:paraId="32DD04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4.1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主机系统</w:t>
      </w:r>
    </w:p>
    <w:p w14:paraId="433E61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4.1.1内置气-液分离装置，使用高效的连续萃取气液分离技术。</w:t>
      </w:r>
    </w:p>
    <w:p w14:paraId="1DB29D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▲4.1.2内置总氮在线消解系统，使用紫外在线消解系统，单个样品测量含消解时间小于5min。</w:t>
      </w:r>
    </w:p>
    <w:p w14:paraId="6361DF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■4.1.3内置氨氮在线氧化系统。</w:t>
      </w:r>
    </w:p>
    <w:p w14:paraId="7C6A8D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▲4.1.4内置自动稀释系统。可对不同浓度样品精准稀释；支持单点定标进行自动梯度稀释，自动生成覆盖检测范围的标准曲线，曲线相关性系数≥0.9995。</w:t>
      </w:r>
    </w:p>
    <w:p w14:paraId="139F99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4.1.5内置在线加热系统，能开机自动检测环境温度，无需手动开启辅助加热，温度异常时自动停止加热。</w:t>
      </w:r>
    </w:p>
    <w:p w14:paraId="3ABC7F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4.1.6内置自动除水系统，使用全过程无需干燥剂，采用半导体恒温除湿或同等效果技术，避免水汽干扰。</w:t>
      </w:r>
    </w:p>
    <w:p w14:paraId="452790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4.1.7以氮气（纯度≥99.9%）为载气，配备载气净化系统；具备压力和流量双重监测报警系统。</w:t>
      </w:r>
    </w:p>
    <w:p w14:paraId="567C0D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4.1.8仪器在30min内基线的漂移不大于0.001Abs，基线最大瞬时噪声不大于0.0005Abs。</w:t>
      </w:r>
    </w:p>
    <w:p w14:paraId="47B8E3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4.1.9采用适配各国标/行标方法要求的氘灯，固定灯位，光路稳定；具备光源寿命统计监测功能。</w:t>
      </w:r>
    </w:p>
    <w:p w14:paraId="0E62456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4.1.10采用连续光源，波长范围覆盖各国标/行标方法特征波长要求，且连续可调；波长准确性±0.2nm，波长重复性±0.1nm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GB" w:eastAsia="zh-CN"/>
        </w:rPr>
        <w:t>。</w:t>
      </w:r>
    </w:p>
    <w:p w14:paraId="1B54F91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4.2 试剂瓶架</w:t>
      </w:r>
    </w:p>
    <w:p w14:paraId="13424F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4.2.1配置试剂瓶架。与主机、自动进样系统衔接，布局合理。</w:t>
      </w:r>
    </w:p>
    <w:p w14:paraId="1DD800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4.2.2至少可容纳6个1000mL规格试剂瓶。</w:t>
      </w:r>
    </w:p>
    <w:p w14:paraId="1ED048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4.3自动进样器</w:t>
      </w:r>
    </w:p>
    <w:p w14:paraId="511DB8A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▲4.3.1样品位数≥50位，样品管容积不小于50mL，适配大体积样品或高浓度稀释需求。</w:t>
      </w:r>
    </w:p>
    <w:p w14:paraId="31D3B2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4.3.2样品盘可拆洗，进样管路/进样针采用耐腐蚀材质；具备程序控制流动洗针功能，可软件调节洗针流量，适配不同污染程度样品。</w:t>
      </w:r>
    </w:p>
    <w:p w14:paraId="6DAE28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■4.3.3配备均质吹扫系统，支持进样前/进样中均质，软件可设置吹扫时间，消除样品分层、去除VOC干扰。</w:t>
      </w:r>
    </w:p>
    <w:p w14:paraId="1A0E05F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4.4氨氮</w:t>
      </w:r>
    </w:p>
    <w:p w14:paraId="7D44FB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■4.4.1检出限：≤0.02mg/L；</w:t>
      </w:r>
    </w:p>
    <w:p w14:paraId="60235A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4.4.2标准曲线相关系数：r≥0.9995；</w:t>
      </w:r>
    </w:p>
    <w:p w14:paraId="4F184C3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4.4.3精密度（连续6次测定）：0.2mg/L时RSD＜3%。</w:t>
      </w:r>
    </w:p>
    <w:p w14:paraId="0FBBE79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4.5亚硝酸盐氮</w:t>
      </w:r>
    </w:p>
    <w:p w14:paraId="5A7E8C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■4.5.1检出限：≤0.003mg/L；</w:t>
      </w:r>
    </w:p>
    <w:p w14:paraId="28B6FB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4.5.2标准曲线相关系数：r≥0.9995；</w:t>
      </w:r>
    </w:p>
    <w:p w14:paraId="2F88060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4.5.3精密度（连续6次测定）：0.2mg/L时RSD＜3%。</w:t>
      </w:r>
    </w:p>
    <w:p w14:paraId="63B24C0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4.6硝酸盐氮</w:t>
      </w:r>
    </w:p>
    <w:p w14:paraId="645B4E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■4.6.1检出限：≤0.008mg/L；</w:t>
      </w:r>
    </w:p>
    <w:p w14:paraId="0CB9CD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4.6.2标准曲线相关系数：r≥0.9995；</w:t>
      </w:r>
    </w:p>
    <w:p w14:paraId="286C8B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4.6.3精密度（连续6次测定）：0.5mg/L时RSD＜3%。</w:t>
      </w:r>
    </w:p>
    <w:p w14:paraId="35F23A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4.7总氮</w:t>
      </w:r>
    </w:p>
    <w:p w14:paraId="117A56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■4.7.1检出限：≤0.05mg/L</w:t>
      </w:r>
    </w:p>
    <w:p w14:paraId="2835B0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4.7.2标准曲线相关系数：r≥0.9995</w:t>
      </w:r>
    </w:p>
    <w:p w14:paraId="558660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4.7.3精密度（连续6次测定）：0.5mg/L时RSD＜3%。</w:t>
      </w:r>
    </w:p>
    <w:p w14:paraId="2F8E14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4.8硫化物</w:t>
      </w:r>
    </w:p>
    <w:p w14:paraId="5BE1B6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■4.8.1检出限：≤0.005mg/L</w:t>
      </w:r>
    </w:p>
    <w:p w14:paraId="1AFA44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4.8.2标准曲线相关系数：r≥0.9995</w:t>
      </w:r>
    </w:p>
    <w:p w14:paraId="07156C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4.8.3精密度（连续6次测定）：0.2mg/L时RSD＜3%。</w:t>
      </w:r>
    </w:p>
    <w:p w14:paraId="16AB1CE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4.9整机通讯支持TCP/IP协议，支持实验室LIMS系统数据上传对接；支持数据自动存储、数据溯源查阅、支持PDF/Word/Excel等格式报表输出与报表打印，支持报告个性化定制。</w:t>
      </w:r>
    </w:p>
    <w:p w14:paraId="107EFB6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▲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4.10 采用紧凑型一体化设计，在无需外置其他功能模块的情况下，仪器主机即可实现总氮项目的自动消解、分析检测以及高浓度样品的自动稀释。同时，仪器结构稳固，自动进样器可叠放于主机之上运行，主机与自动进样器的合计占用面积不超过 0.3m²，适用于应急监测车等狭小空间。 </w:t>
      </w:r>
    </w:p>
    <w:p w14:paraId="7A305663">
      <w:pPr>
        <w:keepNext w:val="0"/>
        <w:keepLines w:val="0"/>
        <w:pageBreakBefore w:val="0"/>
        <w:tabs>
          <w:tab w:val="left" w:pos="3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outlineLvl w:val="3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5.数据处理系统</w:t>
      </w:r>
    </w:p>
    <w:p w14:paraId="7F8484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</w:rPr>
        <w:t>★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5.1数据输出和输入系统1套（品牌计算机，I5十二代及以上， 内存16G及以上， DVD刻录， 固态硬盘1T以上， ≥22液晶专用显示器，中文正版Win10 64位专业系统；A4黑白激光打印机1套。）</w:t>
      </w:r>
    </w:p>
    <w:p w14:paraId="632CB3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5.2操作软件支持开机自动检测通讯口、波长、泵转速、灯位等，并可直接设置测试波长、泵转速、进样时间等参数；具备实时显示检测图谱功能，支持平行样图谱对比；具备紧急添加样品功能；自动保存检测数据、操作日志，支持报告导出；具备测量全程基线实时显示功能。</w:t>
      </w:r>
    </w:p>
    <w:p w14:paraId="1A7050DF">
      <w:pP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br w:type="page"/>
      </w:r>
    </w:p>
    <w:p w14:paraId="4161013E">
      <w:pPr>
        <w:numPr>
          <w:ilvl w:val="0"/>
          <w:numId w:val="0"/>
        </w:numPr>
        <w:adjustRightInd w:val="0"/>
        <w:snapToGrid w:val="0"/>
        <w:spacing w:after="0" w:line="360" w:lineRule="auto"/>
        <w:ind w:firstLine="482" w:firstLineChars="200"/>
        <w:rPr>
          <w:rFonts w:hint="eastAsia" w:ascii="宋体" w:hAnsi="宋体" w:eastAsia="宋体"/>
          <w:b/>
          <w:bCs/>
          <w:color w:val="FF0000"/>
          <w:sz w:val="24"/>
        </w:rPr>
      </w:pP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6.</w:t>
      </w:r>
      <w:r>
        <w:rPr>
          <w:rFonts w:hint="eastAsia" w:ascii="宋体" w:hAnsi="宋体" w:eastAsia="宋体"/>
          <w:b/>
          <w:bCs/>
          <w:color w:val="FF0000"/>
          <w:sz w:val="24"/>
        </w:rPr>
        <w:t>技术服务及售后服务：</w:t>
      </w:r>
    </w:p>
    <w:p w14:paraId="076BB8C8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1、仪器装箱清单、质量合格证明文件、保修卡、使用说明和维护手册等技术文件齐全。</w:t>
      </w:r>
    </w:p>
    <w:p w14:paraId="30E4883A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★2、仪器制造商授权的技术人员现场安装调试，由仪器制造商或供货方送检合格后，取得校准或检定证书，用户方方可签字验收。</w:t>
      </w:r>
    </w:p>
    <w:p w14:paraId="19903A2B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3、每类仪器报修和应用支持须在2h内响应，48h到现场解决问题。</w:t>
      </w:r>
    </w:p>
    <w:p w14:paraId="2DDE98A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★4、质保期：整机质保期不少于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</w:rPr>
        <w:t>年。在质保期内，供应商必须提供仪器制造商的故障检查、维修及维护等服务，所有服务及更换部件（耗材除外）全部免费。仪器制造商对仪器提供终身维修维护支持，软件免费升级，并以优惠价提供配件耗材。</w:t>
      </w:r>
    </w:p>
    <w:p w14:paraId="250BB864">
      <w:pPr>
        <w:pStyle w:val="3"/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5、现场培训：仪器制造商工程师在仪器安装、调试完成后对操作人员进行仪器基本操作和维护的免费培训，保证相关人员能独立上机进行基本操作和数据处理。如因人员变动，需要进行再次培训，应满足对采购人新增实验人员进行免费培训。</w:t>
      </w:r>
    </w:p>
    <w:p w14:paraId="23FA6C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85042"/>
    <w:multiLevelType w:val="multilevel"/>
    <w:tmpl w:val="60085042"/>
    <w:lvl w:ilvl="0" w:tentative="0">
      <w:start w:val="1"/>
      <w:numFmt w:val="decimal"/>
      <w:pStyle w:val="4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A2905"/>
    <w:rsid w:val="00A5599A"/>
    <w:rsid w:val="1E95081C"/>
    <w:rsid w:val="250465B8"/>
    <w:rsid w:val="5C5018E0"/>
    <w:rsid w:val="683A2905"/>
    <w:rsid w:val="793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tabs>
        <w:tab w:val="left" w:pos="360"/>
      </w:tabs>
      <w:adjustRightInd w:val="0"/>
      <w:spacing w:line="360" w:lineRule="auto"/>
      <w:jc w:val="center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4">
    <w:name w:val="heading 3"/>
    <w:basedOn w:val="1"/>
    <w:next w:val="1"/>
    <w:qFormat/>
    <w:uiPriority w:val="9"/>
    <w:pPr>
      <w:numPr>
        <w:ilvl w:val="0"/>
        <w:numId w:val="1"/>
      </w:numPr>
      <w:tabs>
        <w:tab w:val="left" w:pos="360"/>
        <w:tab w:val="left" w:pos="900"/>
        <w:tab w:val="left" w:pos="1588"/>
      </w:tabs>
      <w:adjustRightInd w:val="0"/>
      <w:spacing w:line="400" w:lineRule="exact"/>
      <w:ind w:firstLine="6"/>
      <w:textAlignment w:val="baseline"/>
      <w:outlineLvl w:val="2"/>
    </w:pPr>
    <w:rPr>
      <w:rFonts w:eastAsia="黑体"/>
      <w:b/>
      <w:kern w:val="0"/>
      <w:sz w:val="28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2060</Words>
  <Characters>2484</Characters>
  <Lines>0</Lines>
  <Paragraphs>0</Paragraphs>
  <TotalTime>1</TotalTime>
  <ScaleCrop>false</ScaleCrop>
  <LinksUpToDate>false</LinksUpToDate>
  <CharactersWithSpaces>2507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2026-04-02T09:21:00Z</dcterms:created>
  <dc:creator>华善</dc:creator>
  <cp:lastModifiedBy>华善</cp:lastModifiedBy>
  <cp:lastPrinted>2026-04-02T09:21:00Z</cp:lastPrinted>
  <dcterms:modified xsi:type="dcterms:W3CDTF">2026-04-10T04:50:29Z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99B98900F6774AA7A291F6496ACAA372_13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