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玉溪市电子政务网络管理中心</w:t>
      </w:r>
    </w:p>
    <w:tbl>
      <w:tblPr>
        <w:tblStyle w:val="7"/>
        <w:tblW w:w="9075" w:type="dxa"/>
        <w:jc w:val="center"/>
        <w:tblInd w:w="-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玉溪市人民政府网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http://www.yuxi.gov.cn/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玉溪市人民政府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t>53040</w:t>
            </w:r>
            <w:r>
              <w:rPr>
                <w:rFonts w:hint="eastAsia"/>
                <w:lang w:val="en-US" w:eastAsia="zh-CN"/>
              </w:rPr>
              <w:t>00002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t>滇ICP备05001283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53040202000080 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53040202000252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37146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11117086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28798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247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10372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12164 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522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278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5468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4142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5293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5293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color w:val="0000FF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玉溪发布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2014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50631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eastAsia="zh-CN"/>
              </w:rPr>
              <w:t>移动客户端发布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28798条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多语言版本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单位负责人：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史启斌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审核人：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胡源远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填报人：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王莉芳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 0877-2070867                                       填报日期：2018.01.25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06A8"/>
    <w:rsid w:val="01515386"/>
    <w:rsid w:val="11D761FE"/>
    <w:rsid w:val="39BD259C"/>
    <w:rsid w:val="45BF314E"/>
    <w:rsid w:val="47861278"/>
    <w:rsid w:val="4D3306A8"/>
    <w:rsid w:val="55C94F4C"/>
    <w:rsid w:val="6279398B"/>
    <w:rsid w:val="6464094F"/>
    <w:rsid w:val="64AC7FDA"/>
    <w:rsid w:val="7F3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8">
    <w:name w:val="fir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2018-01-23T02:45:00Z</dcterms:created>
  <dc:creator>Administrator</dc:creator>
  <cp:lastModifiedBy>忆玲珑</cp:lastModifiedBy>
  <dcterms:modified xsi:type="dcterms:W3CDTF">2018-01-26T06:27:54Z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